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Тема: «Заболевания органов мочевыделительной системы, их предупреждение.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Класс: 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Тип урока: изучение нового  материала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Цель урока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Сформировать у учащихся целостное представление об основных заболеваниях мочевыделительной системы, их причинах и способах профилактики, а также развить ответственное отношение к собственному здоровью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Планируемый результат обучения, в том числе и формирование УУД: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Предметные: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Раскрыть сущность основных заболеваний мочевыделительной системы (мочекаменная болезнь, пиелонефрит, гломерулонефрит, цистит): причины, симптомы, последствия.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Объяснить связь между образом жизни (питьевой режим, питание, переохлаждение) и состоянием почек.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Научить формулировать конкретные, научно обоснованные меры профилактики заболеваний почек.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Метапредметные: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Регулятивные УУД: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Планировать последовательность действий при выполнении практической работы.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Осуществлять самоконтроль и коррекцию в ходе работы над профилактическими рекомендациями.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Оценивать реалистичность и эффективность предложенных мер профилактики.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Познавательные УУД: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Анализировать информацию о заболеваниях из учебника и дополнительных источников.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Устанавливать причинно-следственные связи между поведением человека и риском заболеваний почек.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Преобразовывать научную информацию в практические рекомендации для повседневной жизни.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>Коммуникативные УУД: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Строить понятные для партнёра высказывания при обсуждении мер профилактики.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Участвовать в групповой работе: распределять роли, слушать мнение других, аргументировать свою позицию.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Представлять результаты практической работы перед классом кратко и убедительно.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i/>
          <w:i/>
          <w:sz w:val="24"/>
          <w:szCs w:val="24"/>
        </w:rPr>
      </w:pPr>
      <w:r>
        <w:rPr>
          <w:rFonts w:cs="Times New Roman" w:ascii="Times New Roman" w:hAnsi="Times New Roman"/>
          <w:i/>
          <w:sz w:val="24"/>
          <w:szCs w:val="24"/>
        </w:rPr>
        <w:t>Личностные: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Формировать осознанное отношение к своему здоровью как к высшей жизненной ценности.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Развивать ответственность за свои поступки и их влияние на состояние организма.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Воспитывать культуру здорового образа жизни через понимание важности профилактики заболеваний почек.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Оборудование: учебник, тетради, карточки с заданиями, презентация.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Ход урока.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94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05"/>
        <w:gridCol w:w="1889"/>
        <w:gridCol w:w="4433"/>
        <w:gridCol w:w="2315"/>
      </w:tblGrid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Виды организации учебной деятельности (формы, методы, приемы)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Деятельность учеников</w:t>
            </w:r>
          </w:p>
        </w:tc>
      </w:tr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1.Организационный момент.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(Настрой обучающихся на положительный урок)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Здравствуйте, ребята.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Здравствуйте! – Ты скажешь человеку.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Здравствуй! – Улыбнется он в ответ.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И, наверно, не пойдет в аптеку,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И здоровым будет много лет.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Я очень рада видеть вас всех сегодня такими здоровыми и красивыми.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Настраиваются на урок</w:t>
            </w:r>
          </w:p>
        </w:tc>
      </w:tr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Актуализация знаний: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Работа в группах по  карточкам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Ребята, для того, чтобы приступить к изучению новой темы давайте напомним себе  о процессе мочеобразования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У вас на партах лежат карточки. Вам необходимо  правильно расположить элементы схемы мочеобразования.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Учитель подходит к каждой группе, и вместе с детьми проверяет работы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работают в группах в течение 5-8 мин. Заполняют чек-лист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 истечению времени работы, группы обмениваются листами, проверяют правильность выполнения.</w:t>
            </w:r>
          </w:p>
        </w:tc>
      </w:tr>
      <w:tr>
        <w:trPr>
          <w:trHeight w:val="830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Мотивация, определение темы урока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Определяют тему, цели и задачи урока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«Ребята, мы с вами только что вспомнили, как работают органы мочевыделительной системы. Почки ежедневно фильтруют около 180 литров крови, возвращают организму полезное и выводят лишнее. Нефрон работает как умнейший „микрофильтр". Всё это — тихая, незаметная, но кропотливая работа».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«Представьте: в вашем доме стоит система очистки воды. Она работает без остановки, вы её почти не замечаете. Но однажды в водопровод попадает песок. Или система перестаёт получать достаточно воды для промывки. Что произойдёт с фильтром?»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«А что произойдёт с вами, если вода станет грязной?»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«Точно так же и с почками. Если в них попадает „песок" — соли из неправильного питания, если им не хватает воды для промывки, если они постоянно мерзнут — фильтр начинает давать сбои. И, в отличие от водопроводного фильтра, почки болят редко. Они молча работают до последнего».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«Поэтому сегодня мы поговорим не только о том, какие болезни могут поразить почки, но и — что гораздо важнее — как их предотвратить. Потому что лучшее лечение — это когда болезнь никогда не наступила».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Учащиеся отвечают: засорится, сломается, перестанет очищать воду.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заболеете, появятся проблемы со здоровьем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записывают  тему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«Заболевания органов мочевыделительной системы и их предупреждение»</w:t>
            </w:r>
          </w:p>
        </w:tc>
      </w:tr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Изучение нового материала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работают в группах (4 группы)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Ребята, скажите, пожалуйста, какие заболевания мочевыделительной системы вы знаете, слышали?</w:t>
            </w:r>
          </w:p>
          <w:p>
            <w:pPr>
              <w:pStyle w:val="Normal"/>
              <w:widowControl w:val="false"/>
              <w:spacing w:lineRule="atLeast" w:line="84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Я вам предлагаю поработать «терапевтами».</w:t>
            </w:r>
          </w:p>
          <w:p>
            <w:pPr>
              <w:pStyle w:val="Normal"/>
              <w:widowControl w:val="false"/>
              <w:spacing w:lineRule="atLeast" w:line="84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Задача: каждой группе необходимо изучить предложенное заболевание. Для этого можно использовать учебник, дополнительные  материалы. По итогу работы вам необходимо заполнить таблицу.</w:t>
            </w:r>
          </w:p>
          <w:tbl>
            <w:tblPr>
              <w:tblStyle w:val="a3"/>
              <w:tblW w:w="383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1" w:lastRow="0" w:firstColumn="1" w:lastColumn="0" w:noHBand="0" w:val="04a0"/>
            </w:tblPr>
            <w:tblGrid>
              <w:gridCol w:w="1276"/>
              <w:gridCol w:w="1277"/>
              <w:gridCol w:w="1277"/>
            </w:tblGrid>
            <w:tr>
              <w:trPr/>
              <w:tc>
                <w:tcPr>
                  <w:tcW w:w="1276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заболевание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Кратко о причинах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Что зависит от нас?</w:t>
                  </w:r>
                </w:p>
              </w:tc>
            </w:tr>
            <w:tr>
              <w:trPr/>
              <w:tc>
                <w:tcPr>
                  <w:tcW w:w="1276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Мочекаменная болезнь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/>
              <w:tc>
                <w:tcPr>
                  <w:tcW w:w="1276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Пиелонефрит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/>
              <w:tc>
                <w:tcPr>
                  <w:tcW w:w="1276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Гломерулонефрит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/>
              <w:tc>
                <w:tcPr>
                  <w:tcW w:w="1276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kern w:val="0"/>
                      <w:sz w:val="24"/>
                      <w:szCs w:val="24"/>
                      <w:lang w:val="ru-RU" w:eastAsia="ru-RU" w:bidi="ar-SA"/>
                    </w:rPr>
                    <w:t>Цистит</w:t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77" w:type="dxa"/>
                  <w:tcBorders/>
                </w:tcPr>
                <w:p>
                  <w:pPr>
                    <w:pStyle w:val="Normal"/>
                    <w:widowControl w:val="false"/>
                    <w:suppressAutoHyphens w:val="true"/>
                    <w:spacing w:lineRule="atLeast" w:line="84" w:before="0" w:after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 w:cs="Times New Roman" w:ascii="Times New Roman" w:hAnsi="Times New Roman"/>
                      <w:bCs/>
                      <w:sz w:val="24"/>
                      <w:szCs w:val="24"/>
                      <w:lang w:eastAsia="ru-RU"/>
                    </w:rPr>
                  </w:r>
                </w:p>
              </w:tc>
            </w:tr>
          </w:tbl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называют.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Работают в группах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8 минут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По итогу каждая группа выступает (по 2 мин)</w:t>
            </w:r>
          </w:p>
        </w:tc>
      </w:tr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Первичное закрепление материала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Онлайн тест из 3 вопросов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 xml:space="preserve">Ребята предлагаю пройти мини тест. Пройдите по ссылке. </w:t>
            </w:r>
            <w:hyperlink r:id="rId2">
              <w:r>
                <w:rPr>
                  <w:rStyle w:val="Style15"/>
                  <w:rFonts w:eastAsia="Times New Roman" w:cs="Times New Roman" w:ascii="Times New Roman" w:hAnsi="Times New Roman"/>
                  <w:bCs/>
                  <w:sz w:val="24"/>
                  <w:szCs w:val="24"/>
                  <w:lang w:eastAsia="ru-RU"/>
                </w:rPr>
                <w:t>https://quick.apkpro.ru/poll/160348</w:t>
              </w:r>
            </w:hyperlink>
          </w:p>
          <w:p>
            <w:pPr>
              <w:pStyle w:val="Normal"/>
              <w:widowControl w:val="false"/>
              <w:spacing w:lineRule="atLeast" w:line="84"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Или по куаркоду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/>
              <w:drawing>
                <wp:inline distT="0" distB="0" distL="0" distR="0">
                  <wp:extent cx="1226820" cy="1226820"/>
                  <wp:effectExtent l="0" t="0" r="0" b="0"/>
                  <wp:docPr id="1" name="Рисунок 1" descr="C:\Users\ГИА9 2022\Downloads\q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Users\ГИА9 2022\Downloads\q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1226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выполняют тест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5 мин</w:t>
            </w:r>
          </w:p>
        </w:tc>
      </w:tr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Актуализация изученного материала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Фронтальная работа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Вот важный факт: при достаточном питье (1,5–2 л в день) риск мочекаменной болезни снижается на 40%, а при регулярном переохлаждении риск воспаления почек возрастает в 3 раза» (данные Роспотребнадзора).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«Это значит: профилактика — не „бабушкины советы", а научно доказанные действия.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И сегодня вы сами станете „экспертами по профилактике". Сейчас  мы с вами вместе напишем рекомендации для подростков по профилактике указанных заболеваний.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предлагают свои рекомендации</w:t>
            </w:r>
          </w:p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Один из учеников записывает на доске.</w:t>
            </w:r>
          </w:p>
        </w:tc>
      </w:tr>
      <w:tr>
        <w:trPr>
          <w:trHeight w:val="84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Фронтальная работа</w:t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0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Ребята, перед вами незаконченные три предложения. Прошу высказать свои мысли. (Закончи фразы)</w:t>
            </w:r>
          </w:p>
          <w:p>
            <w:pPr>
              <w:pStyle w:val="Normal"/>
              <w:widowControl w:val="false"/>
              <w:spacing w:lineRule="atLeast" w:line="0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Сегодня я узнал(а), что</w:t>
            </w:r>
          </w:p>
          <w:p>
            <w:pPr>
              <w:pStyle w:val="Normal"/>
              <w:widowControl w:val="false"/>
              <w:spacing w:lineRule="atLeast" w:line="0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Теперь я буду</w:t>
            </w:r>
          </w:p>
          <w:p>
            <w:pPr>
              <w:pStyle w:val="Normal"/>
              <w:widowControl w:val="false"/>
              <w:spacing w:lineRule="atLeast" w:line="0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Мне было неожиданно, что</w:t>
            </w:r>
          </w:p>
          <w:p>
            <w:pPr>
              <w:pStyle w:val="Normal"/>
              <w:widowControl w:val="false"/>
              <w:spacing w:lineRule="atLeast" w:line="0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Спасибо, всем. На этом урок завершен. Всем желаю здоровья!</w:t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Дети отвечают на вопросы</w:t>
            </w:r>
          </w:p>
        </w:tc>
      </w:tr>
      <w:tr>
        <w:trPr>
          <w:trHeight w:val="3795" w:hRule="atLeast"/>
        </w:trPr>
        <w:tc>
          <w:tcPr>
            <w:tcW w:w="23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Дом.задание</w:t>
            </w:r>
          </w:p>
        </w:tc>
        <w:tc>
          <w:tcPr>
            <w:tcW w:w="1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  <w:tc>
          <w:tcPr>
            <w:tcW w:w="44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tbl>
            <w:tblPr>
              <w:tblW w:w="9961" w:type="dxa"/>
              <w:jc w:val="left"/>
              <w:tblInd w:w="89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5424"/>
              <w:gridCol w:w="2244"/>
              <w:gridCol w:w="2293"/>
            </w:tblGrid>
            <w:tr>
              <w:trPr>
                <w:trHeight w:val="252" w:hRule="atLeast"/>
              </w:trPr>
              <w:tc>
                <w:tcPr>
                  <w:tcW w:w="5424" w:type="dxa"/>
                  <w:tcBorders/>
                  <w:vAlign w:val="bottom"/>
                </w:tcPr>
                <w:p>
                  <w:pPr>
                    <w:pStyle w:val="Normal"/>
                    <w:widowControl/>
                    <w:tabs>
                      <w:tab w:val="clear" w:pos="708"/>
                    </w:tabs>
                    <w:suppressAutoHyphens w:val="true"/>
                    <w:bidi w:val="0"/>
                    <w:spacing w:lineRule="auto" w:line="276" w:before="0" w:after="0"/>
                    <w:ind w:left="0" w:right="1474" w:hanging="57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cs="Calibri"/>
                      <w:color w:val="000000"/>
                      <w:sz w:val="24"/>
                      <w:szCs w:val="24"/>
                      <w:lang w:eastAsia="ru-RU"/>
                    </w:rPr>
                    <w:t>Пр</w:t>
                  </w:r>
                  <w:r>
                    <w:rPr>
                      <w:rFonts w:cs="Calibri"/>
                      <w:color w:val="000000"/>
                      <w:sz w:val="24"/>
                      <w:szCs w:val="24"/>
                      <w:lang w:eastAsia="ru-RU"/>
                    </w:rPr>
                    <w:t>едлагает</w:t>
                  </w:r>
                  <w:r>
                    <w:rPr>
                      <w:rFonts w:cs="Calibri"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выбор уровня сложности: Базовый: § 39, ответить на вопросы в конце параграфа. Продвинутый: Составить кроссворд (10 слов) по теме урока. </w:t>
                  </w:r>
                </w:p>
                <w:p>
                  <w:pPr>
                    <w:pStyle w:val="Normal"/>
                    <w:widowControl/>
                    <w:tabs>
                      <w:tab w:val="clear" w:pos="708"/>
                    </w:tabs>
                    <w:suppressAutoHyphens w:val="true"/>
                    <w:bidi w:val="0"/>
                    <w:spacing w:lineRule="auto" w:line="276" w:before="0" w:after="0"/>
                    <w:ind w:left="0" w:right="1474" w:hanging="0"/>
                    <w:jc w:val="left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cs="Calibri" w:ascii="Times New Roman" w:hAnsi="Times New Roman"/>
                      <w:color w:val="000000"/>
                      <w:sz w:val="24"/>
                      <w:szCs w:val="24"/>
                      <w:lang w:eastAsia="ru-RU"/>
                    </w:rPr>
                    <w:t>Творческий/Исследовательский: Проанализировать состав одного популярного энергетического или газированного напитка и написать мини-эссе (5-7 предложений) о его потенциальном влиянии на мочевыделительную с</w:t>
                  </w:r>
                  <w:r>
                    <w:rPr>
                      <w:rFonts w:cs="Calibri"/>
                      <w:color w:val="000000"/>
                      <w:sz w:val="24"/>
                      <w:szCs w:val="24"/>
                      <w:lang w:eastAsia="ru-RU"/>
                    </w:rPr>
                    <w:t>истему.</w:t>
                  </w:r>
                </w:p>
              </w:tc>
              <w:tc>
                <w:tcPr>
                  <w:tcW w:w="2244" w:type="dxa"/>
                  <w:tcBorders/>
                  <w:vAlign w:val="bottom"/>
                </w:tcPr>
                <w:p>
                  <w:pPr>
                    <w:pStyle w:val="Normal"/>
                    <w:tabs>
                      <w:tab w:val="clear" w:pos="708"/>
                    </w:tabs>
                    <w:bidi w:val="0"/>
                    <w:spacing w:before="0" w:after="0"/>
                    <w:ind w:left="0" w:right="0" w:hanging="0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cs="Calibri"/>
                      <w:color w:val="000000"/>
                      <w:sz w:val="24"/>
                      <w:szCs w:val="24"/>
                      <w:lang w:eastAsia="ru-RU"/>
                    </w:rPr>
                    <w:t>Записывают домашнее задание, выбирая уровень в соответствии со своими интересами и возможностями.</w:t>
                  </w:r>
                </w:p>
              </w:tc>
              <w:tc>
                <w:tcPr>
                  <w:tcW w:w="2293" w:type="dxa"/>
                  <w:tcBorders/>
                  <w:vAlign w:val="bottom"/>
                </w:tcPr>
                <w:p>
                  <w:pPr>
                    <w:pStyle w:val="Normal"/>
                    <w:tabs>
                      <w:tab w:val="clear" w:pos="708"/>
                    </w:tabs>
                    <w:bidi w:val="0"/>
                    <w:spacing w:before="0" w:after="0"/>
                    <w:ind w:left="0" w:right="0" w:hanging="0"/>
                    <w:rPr>
                      <w:rFonts w:ascii="Times New Roman" w:hAnsi="Times New Roman" w:eastAsia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cs="Calibri"/>
                      <w:color w:val="000000"/>
                      <w:sz w:val="24"/>
                      <w:szCs w:val="24"/>
                      <w:lang w:eastAsia="ru-RU"/>
                    </w:rPr>
                    <w:t>Дифференцированный подход, развитие исследовательских навыков.</w:t>
                  </w:r>
                </w:p>
              </w:tc>
            </w:tr>
          </w:tbl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/>
            </w:r>
          </w:p>
        </w:tc>
        <w:tc>
          <w:tcPr>
            <w:tcW w:w="23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84" w:beforeAutospacing="1" w:after="142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709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Qwenmarkdowntext" w:customStyle="1">
    <w:name w:val="qwen-markdown-text"/>
    <w:basedOn w:val="DefaultParagraphFont"/>
    <w:qFormat/>
    <w:rsid w:val="005678f1"/>
    <w:rPr/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c6eca"/>
    <w:rPr>
      <w:rFonts w:ascii="Tahoma" w:hAnsi="Tahoma" w:cs="Tahoma"/>
      <w:sz w:val="16"/>
      <w:szCs w:val="16"/>
    </w:rPr>
  </w:style>
  <w:style w:type="character" w:styleId="Style15">
    <w:name w:val="Hyperlink"/>
    <w:basedOn w:val="DefaultParagraphFont"/>
    <w:uiPriority w:val="99"/>
    <w:unhideWhenUsed/>
    <w:rsid w:val="00ec6eca"/>
    <w:rPr>
      <w:color w:val="0000FF" w:themeColor="hyperlink"/>
      <w:u w:val="single"/>
    </w:rPr>
  </w:style>
  <w:style w:type="character" w:styleId="Style16">
    <w:name w:val="FollowedHyperlink"/>
    <w:basedOn w:val="DefaultParagraphFont"/>
    <w:uiPriority w:val="99"/>
    <w:semiHidden/>
    <w:unhideWhenUsed/>
    <w:rsid w:val="00ec6eca"/>
    <w:rPr>
      <w:color w:val="800080" w:themeColor="followedHyperlink"/>
      <w:u w:val="single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ucida Sans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c6eca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2">
    <w:name w:val="Содержимое таблицы"/>
    <w:basedOn w:val="Normal"/>
    <w:qFormat/>
    <w:pPr>
      <w:widowControl w:val="false"/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paragraph" w:styleId="NormalTable">
    <w:name w:val="Normal Table"/>
    <w:qFormat/>
    <w:pPr>
      <w:widowControl/>
      <w:bidi w:val="0"/>
      <w:spacing w:lineRule="auto" w:line="276" w:before="0" w:after="200"/>
      <w:jc w:val="left"/>
      <w:textAlignment w:val="auto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678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quick.apkpro.ru/poll/160348" TargetMode="External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Application>LibreOffice/7.4.5.1$Windows_X86_64 LibreOffice_project/9c0871452b3918c1019dde9bfac75448afc4b57f</Application>
  <AppVersion>15.0000</AppVersion>
  <Pages>4</Pages>
  <Words>799</Words>
  <Characters>5501</Characters>
  <CharactersWithSpaces>6222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2026-04-01T03:15:00Z</dcterms:created>
  <dc:creator>ГИА9 2022</dc:creator>
  <dc:description/>
  <dc:language>ru-RU</dc:language>
  <cp:lastModifiedBy/>
  <dcterms:modified xsi:type="dcterms:W3CDTF">2026-11-03T22:25:16Z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