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4F74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4472C4" w:themeColor="accent5"/>
          <w:kern w:val="0"/>
          <w:sz w:val="28"/>
          <w:szCs w:val="28"/>
          <w:lang w:val="ru-RU" w:eastAsia="zh-CN" w:bidi="ar"/>
          <w14:textFill>
            <w14:solidFill>
              <w14:schemeClr w14:val="accent5"/>
            </w14:solidFill>
          </w14:textFill>
        </w:rPr>
      </w:pPr>
      <w:r>
        <w:rPr>
          <w:rFonts w:hint="default" w:ascii="Times New Roman" w:hAnsi="Times New Roman" w:eastAsia="SimSun" w:cs="Times New Roman"/>
          <w:b/>
          <w:bCs/>
          <w:color w:val="4472C4" w:themeColor="accent5"/>
          <w:kern w:val="0"/>
          <w:sz w:val="28"/>
          <w:szCs w:val="28"/>
          <w:lang w:val="en-US" w:eastAsia="zh-CN" w:bidi="ar"/>
          <w14:textFill>
            <w14:solidFill>
              <w14:schemeClr w14:val="accent5"/>
            </w14:solidFill>
          </w14:textFill>
        </w:rPr>
        <w:t xml:space="preserve">Мастер-класс на тему «Добрые игры» </w:t>
      </w:r>
      <w:r>
        <w:rPr>
          <w:rFonts w:hint="default" w:ascii="Times New Roman" w:hAnsi="Times New Roman" w:eastAsia="SimSun" w:cs="Times New Roman"/>
          <w:b/>
          <w:bCs/>
          <w:color w:val="4472C4" w:themeColor="accent5"/>
          <w:kern w:val="0"/>
          <w:sz w:val="28"/>
          <w:szCs w:val="28"/>
          <w:lang w:val="ru-RU" w:eastAsia="zh-CN" w:bidi="ar"/>
          <w14:textFill>
            <w14:solidFill>
              <w14:schemeClr w14:val="accent5"/>
            </w14:solidFill>
          </w14:textFill>
        </w:rPr>
        <w:t xml:space="preserve"> через сказку!</w:t>
      </w:r>
    </w:p>
    <w:p w14:paraId="5022CB8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4472C4" w:themeColor="accent5"/>
          <w:kern w:val="0"/>
          <w:sz w:val="28"/>
          <w:szCs w:val="28"/>
          <w:lang w:val="ru-RU" w:eastAsia="zh-CN" w:bidi="ar"/>
          <w14:textFill>
            <w14:solidFill>
              <w14:schemeClr w14:val="accent5"/>
            </w14:solidFill>
          </w14:textFill>
        </w:rPr>
      </w:pPr>
    </w:p>
    <w:p w14:paraId="5A0E3EA3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 xml:space="preserve">Цель: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</w:rPr>
        <w:t>Формирование у родителей понимания важности и методов организации добрых игр для детей, способствующих их развитию и социализации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>.</w:t>
      </w:r>
    </w:p>
    <w:p w14:paraId="03F9E0D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>Задачи:</w:t>
      </w:r>
    </w:p>
    <w:p w14:paraId="3CDB860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Times New Roman" w:hAnsi="Times New Roman" w:eastAsia="var(--depot-font-size-md-paragr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</w:rPr>
        <w:t>Повышение осведомленности родителей</w:t>
      </w:r>
      <w:r>
        <w:rPr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</w:rPr>
        <w:t> </w:t>
      </w:r>
    </w:p>
    <w:p w14:paraId="7B47BF9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</w:pPr>
      <w:r>
        <w:rPr>
          <w:rStyle w:val="4"/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</w:rPr>
        <w:t>Обучение родителей</w:t>
      </w:r>
      <w:r>
        <w:rPr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</w:rPr>
        <w:t> методам и приемам организации добрых игр дома</w:t>
      </w:r>
      <w:r>
        <w:rPr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  <w:lang w:val="ru-RU"/>
        </w:rPr>
        <w:t>.</w:t>
      </w:r>
    </w:p>
    <w:p w14:paraId="6B46DF62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Times New Roman" w:hAnsi="Times New Roman" w:eastAsia="var(--depot-font-size-md-paragr" w:cs="Times New Roman"/>
          <w:sz w:val="28"/>
          <w:szCs w:val="28"/>
        </w:rPr>
      </w:pPr>
      <w:r>
        <w:rPr>
          <w:rStyle w:val="4"/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</w:rPr>
        <w:t>Создание позитивного опыта</w:t>
      </w:r>
      <w:r>
        <w:rPr>
          <w:rFonts w:hint="default" w:ascii="Times New Roman" w:hAnsi="Times New Roman" w:eastAsia="var(--depot-font-size-md-paragr" w:cs="Times New Roman"/>
          <w:i w:val="0"/>
          <w:iCs w:val="0"/>
          <w:caps w:val="0"/>
          <w:color w:val="333333"/>
          <w:spacing w:val="0"/>
          <w:sz w:val="28"/>
          <w:szCs w:val="28"/>
        </w:rPr>
        <w:t> совместного времяпровождения родителей и детей через игровые активности.</w:t>
      </w:r>
    </w:p>
    <w:p w14:paraId="75DBB2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b/>
          <w:bCs/>
          <w:color w:val="4472C4" w:themeColor="accent5"/>
          <w:kern w:val="0"/>
          <w:sz w:val="28"/>
          <w:szCs w:val="28"/>
          <w:lang w:val="en-US" w:eastAsia="zh-CN" w:bidi="ar"/>
          <w14:textFill>
            <w14:solidFill>
              <w14:schemeClr w14:val="accent5"/>
            </w14:solidFill>
          </w14:textFill>
        </w:rPr>
      </w:pPr>
    </w:p>
    <w:p w14:paraId="7DA8F7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Мастер-класс на тему «Добрые игры» для работы с родителями — это отличный способ показать, как через игру можно развивать у детей доброжелательность, эмпатию и навыки общения. Такие игры помогают создать в семье атмосферу принятия и поддержки, где ребёнок не боится ошибиться, потому что главное здесь — доброе отношение </w:t>
      </w:r>
    </w:p>
    <w:p w14:paraId="47E50C2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Такой мастер-класс помогает установить партнёрские отношения с родителями, показать им, что воспитание — это совместный творческий процесс, где важны не строгие правила, а тёплая атмосфера и поддержка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.</w:t>
      </w:r>
    </w:p>
    <w:p w14:paraId="3A999C5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Содержание проекта связано с темами, которые доступны и близки </w:t>
      </w:r>
    </w:p>
    <w:p w14:paraId="1BCECCD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дошкольнику: семья, детский сад, дружба и взаимоотношения между людьми, малая и большая Родина, природа, культура, труд, безопасность, традиции народов России, памятные события и герои Отечества. </w:t>
      </w:r>
    </w:p>
    <w:p w14:paraId="67DCA2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Таким образом, «Добрые игры» можно рассматривать как своеобразное продолжение идеи «Разговоров о важном» на уровне дошкольного образования. Но говорить с маленьким ребёнком о важных вещах предлагается на понятном ему языке — через игру, сказку, творчество, общение и собственный эмоциональный опыт. </w:t>
      </w:r>
    </w:p>
    <w:p w14:paraId="7FF067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И это, на мой взгляд, является особенно важным моментом проекта. Дошкольнику недостаточно просто сказать: «Нужно дружить», «Нужно помогать», «Нужно любить свою семью и Родину». Ребёнку необходимо прожить соответствующую ситуацию: помочь игровому персонажу, выполнить задание вместе с товарищем, услышать историю, сделать что-то своими руками, поделиться впечатлениями. </w:t>
      </w:r>
    </w:p>
    <w:p w14:paraId="6503470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Почему именно игра? </w:t>
      </w:r>
    </w:p>
    <w:p w14:paraId="14B2EB8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Для дошкольника игра — это ведущая деятельность. Через неё ребёнок познаёт окружающий мир, примеряет различные социальные роли, учится общаться, договариваться, проявлять инициативу и учитывать интересы другого человека. </w:t>
      </w:r>
    </w:p>
    <w:p w14:paraId="5D81D6E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690A02B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Задача воспитателя в рамках проекта — не просто передать ребёнку </w:t>
      </w:r>
    </w:p>
    <w:p w14:paraId="30490D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определённую информацию. Важно создать ситуацию, в которой ребёнок сможет почувствовать, высказать своё мнение, сделать выбор, проявить заботу, совершить добрый поступок. </w:t>
      </w:r>
    </w:p>
    <w:p w14:paraId="7C09934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6716858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Ещё одна важная особенность проекта «Добрые игры» — участие родителей. Воспитание ценностей будет наиболее эффективным тогда, когда детский сад и семья действуют согласованно. </w:t>
      </w:r>
    </w:p>
    <w:p w14:paraId="2C4AFB1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Поэтому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я предлагаю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родителям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попробовать себя в роли детей и и окунуться в «добрую игру» через сказку.</w:t>
      </w:r>
    </w:p>
    <w:p w14:paraId="51B4F65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</w:p>
    <w:p w14:paraId="6631EBB2">
      <w:pPr>
        <w:keepNext w:val="0"/>
        <w:keepLines w:val="0"/>
        <w:widowControl/>
        <w:suppressLineNumbers w:val="0"/>
        <w:ind w:firstLine="700" w:firstLineChars="25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На столе стоит шкатулка в которой лежат сказочные, мультипликационные персонажи. Я предлагаю родителям по очереди доставать любого персонажа , и рассказывать о нем кто он из какой сказки и какие добрые дела и поступки связаны с ним, но и отрицательные поступки мы тоже проговариваем.Если возникло затруднение по персонажу мы в свободное время просматриваем этот мультик или сказку и обсуждаем его с детьми. После того как родитель расскажет, предлагаю остальным дополнить историю. В конце мы решаем все вместе какой мультик или сказку из названных мы посмотрим все вместе.</w:t>
      </w:r>
    </w:p>
    <w:p w14:paraId="1E4C808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75650A1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Результатом такой работы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является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личный эмоциональный отклик ребёнка.</w:t>
      </w:r>
    </w:p>
    <w:p w14:paraId="0400F0A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74476DF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</w:pPr>
    </w:p>
    <w:p w14:paraId="76DB932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</w:p>
    <w:p w14:paraId="58830724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030345" cy="5354320"/>
            <wp:effectExtent l="0" t="0" r="8255" b="17780"/>
            <wp:docPr id="1" name="Изображение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0345" cy="5354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ar(--depot-font-size-md-parag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62EFD"/>
    <w:rsid w:val="10264A31"/>
    <w:rsid w:val="2DFC26AA"/>
    <w:rsid w:val="66FF6754"/>
    <w:rsid w:val="78D5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2026-10-31T08:57:00Z</dcterms:created>
  <dc:creator>user</dc:creator>
  <cp:lastModifiedBy>user</cp:lastModifiedBy>
  <dcterms:modified xsi:type="dcterms:W3CDTF">2026-10-31T11:22:40Z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B3C174E0B2F0454B8034F1D45DB291C3_12</vt:lpwstr>
  </property>
</Properties>
</file>