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/>
        <w:ind/>
        <w:jc w:val="left"/>
      </w:pPr>
      <w:r>
        <w:rPr>
          <w:rFonts w:eastAsia="微软雅黑" w:ascii="微软雅黑" w:hAnsi="微软雅黑" w:cs="微软雅黑"/>
          <w:sz w:val="28"/>
          <w:u w:color="auto"/>
        </w:rPr>
        <w:t>Нейроигры как эффективное средство развития дошкольников 4–5 лет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 xml:space="preserve">Аннотация. 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В статье рассматривается потенциал нейропсихологических игр (нейроигр) как инструмента развития детей среднего дошкольного возраста. Обосновывается актуальность обращения к телесно-ориентированным практикам в условиях снижения двигательной активности современных дошкольников. Раскрываются механизмы воздействия нейроигр на межполушарное взаимодействие, речевую активность и произвольную регуляцию. Приводятся примеры упражнений и рекомендации по организации занятий с детьми 4–5 лет.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Ключевые слова: нейроигры, межполушарное взаимодействие, дошкольники 4–5 лет, речевое развитие, нейропсихологический подход.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---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Введение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Современный дошкольник растёт в условиях, существенно отличающихся от тех, в которых развивались дети предыдущих поколений. Раннее приобщение к экранам, снижение объёма спонтанной двигательной активности, обеднение сенсорного опыта — всё это создаёт риски для гармоничного созревания мозговых структур . Традиционные методы педагогической коррекции не всегда оказываются достаточными, поскольку работают преимущественно на уровне формирования навыка, а не на уровне обеспечивающих его нейродинамических механизмов.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В этом контексте закономерным выглядит рост интереса практиков дошкольного образования к нейропсихологическому подходу, опирающемуся на представления А. Р. Лурии о сложном строении высших психических функций. Нейроигры — игровые комплексы и упражнения, направленные на активизацию и синхронизацию работы различных отделов мозга, — становятся доступным и эффективным инструментом в руках воспитателя и логопеда.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Возраст 4–5 лет представляет собой сенситивный период для развития межполушарных связей, произвольного внимания и речи. Именно в средней группе детского сада закладываются предпосылки успешного освоения чтения, письма и счёта, поэтому своевременное включение нейроигр в образовательный процесс приобретает особую значимость.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Что такое нейроигры и на что они направлены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Под нейроиграми в дошкольной педагогике понимают совокупность телесно-ориентированных упражнений, которые через движение, работу пальцев и координацию глаз-рука воздействуют на мозговые структуры . Ключевое отличие от обычной физкультуры или пальчиковой гимнастики состоит в том, что нейроупражнения строятся на одновременном задействовании обоих полушарий и требуют согласованной работы нескольких сенсорных систем.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Основные мишени нейроигр в работе с детьми 4–5 лет: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· Межполушарное взаимодействие. Нарушение согласованной работы полушарий рассматривается как одна из причин недостатков речи, трудностей освоения грамоты . Упражнения, требующие одновременной работы двух рук (обведение симметричных фигур, надевание резиночек по схеме, игры с двумя мячами), активизируют оба полушария и формируют согласованность движений рук и глаз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· Речевая активность. Центры мелкой моторики и речи расположены в близких зонах коры; стимуляция пальцев рук закономерно активизирует речевые области . Если параллельно с движением отрабатывается правильное произношение звука, достигается дополнительный эффект согласованности языка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· Произвольная регуляция и внимание. Игры с правилами, где требуется выбирать определённый цвет, выполнять действие по символу или удерживать последовательность, тренируют способность к концентрации и самоконтролю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· Снятие психоэмоционального напряжения. Нейроигры обладают антистрессовым эффектом, способствуют стабилизации эмоционального фона, что особенно ценно для гиперактивных и тревожных детей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Примеры нейроигр для детей 4–5 лет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1. «Зеркальные рисунки». Ребёнку предлагается лист с контурным изображением (например, бабочки, вазы) и два карандаша. Задача — обводить линии одновременно двумя руками, следуя от центра к периферии. Упражнение активизирует межполушарные связи и готовит руку к письму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2. «Цветные резиночки». На пальцы обеих рук надеваются цветные резинки по заданной схеме (например, на указательный правой — красная, на безымянный левой — синяя). Ребёнок воспроизводит последовательность сначала по образцу, затем по словесной инструкции. Игра развивает внимание, координацию и пространственные представления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3. «Волшебные следы» (подвижный вариант). На полу раскладываются цветные коврики. Ребёнок может наступать только на цвета, названные ведущим, а при наступлении выполняет действие по показанному символу: звёздочка — прыжок, круг — хлопок над головой, треугольник — приседание. Игра тренирует переключение внимания, координацию и саморегуляцию; подходит для малых групп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4. Дыхательно-глазодвигательный комплекс. Сочетание дыхательных упражнений (вдох через нос, выдох через рот с удлинением) и круговых движений глазами по часовой и против часовой стрелки. Способствует снижению возбудимости, расширению зрительного восприятия и снятию синкинезий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Организационно-педагогические условия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Эффективность нейроигр определяется не столько их «продвинутостью», сколько системностью и соблюдением ряда правил.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Регулярность и дозированность. Занятия должны быть ежедневными или почти ежедневными, но короткими — 5–10 минут в средней группе. Переутомление и перевозбуждение недопустимы: лучше завершить игру раньше, чем довести ребёнка до утомления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Постепенное усложнение. Начинать следует с одной задачи (например, простое зеркальное обведение), постепенно добавляя второй признак (цвет, направление, смена рук). Спешка на начальном этапе приводит к закреплению ошибок.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Игровая форма и положительный фон. Нейроигра должна восприниматься ребёнком именно как игра, а не как «упражнение для исправления недостатков». Поощрение, юмор, соревновательный элемент (в малых группах) повышают мотивацию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Учёт противопоказаний. Нейроупражнения не рекомендуются при эпилепсии, генетических заболеваниях и психических расстройствах; в сомнительных случаях необходима консультация специалиста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Заключение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Нейроигры не являются панацеей и не отменяют других методов педагогической работы. Однако в арсенале современного воспитателя средней группы они занимают особое место как здоровьесберегающая технология, которая одновременно решает задачи развития речи, моторики, внимания и эмоциональной устойчивости. Простота оборудования, возможность интеграции в режимные моменты и очевидная увлечённость детей делают нейроигры практически применимым инструментом, а нейропсихологическая логика их построения обеспечивает воздействие на глубинные механизмы развития.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Для детей 4–5 лет, находящихся в сенситивном периоде становления межполушарных связей, регулярное включение нейроигр может стать тем фундаментом, на котором успешно выстраивается дальнейшее обучение — от чистого произношения до основ грамоты.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Список источников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1. Арт-Талант. Статья об обобщённом опыте работы «Нейроигры — средство активизации межполушарного взаимодействия и стимулирования речевой активности у детей средней группы»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2. Академия педагогических проектов РФ. Кочеткова К. Т. «Нейроигры — средство активизации межполушарного взаимодействия и стимулирования речевой активности». Средняя группа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3. Видеоуроки в интернет. Степанова К. Б. Развитие мелкой моторики у детей 4–5 лет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4. Журнал «1 сентября». Подвижные нейроигры: инновационный подход к развитию ловкости и когнитивных способностей детей 4–7 лет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5. Арт-Талант. Федулова С. В. «Нейроигры — средство активизации межполушарного взаимодействия и стимулирования речевой активности» .</w:t>
      </w:r>
      <w:r>
        <w:rPr>
          <w:u w:color="auto"/>
        </w:rPr>
        <w:t>﻿</w:t>
        <w:cr/>
        <w:t/>
      </w:r>
      <w:r>
        <w:rPr>
          <w:rFonts w:eastAsia="微软雅黑" w:ascii="微软雅黑" w:hAnsi="微软雅黑" w:cs="微软雅黑"/>
          <w:sz w:val="28"/>
          <w:u w:color="auto"/>
        </w:rPr>
        <w:t>6. Современный урок. Бондарева З. А. Использование настольных и напольных нейроигр в работе с детьми 3–5 лет .</w:t>
      </w:r>
      <w:r>
        <w:rPr>
          <w:u/>
        </w:rPr>
      </w:r>
    </w:p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style w:styleId="1" w:type="paragraph">
    <w:name w:val="Normal"/>
    <w:uiPriority w:val="0"/>
    <w:rPr>
      <w:sz w:val="21"/>
    </w:rPr>
  </w:style>
  <w:style w:styleId="2" w:type="paragraph">
    <w:name w:val="heading 1"/>
    <w:basedOn w:val="1"/>
    <w:uiPriority w:val="0"/>
    <w:pPr>
      <w:spacing w:lineRule="auto"/>
      <w:outlineLvl w:val="0"/>
    </w:pPr>
    <w:rPr>
      <w:b w:val="on"/>
      <w:sz w:val="42"/>
    </w:rPr>
  </w:style>
  <w:style w:styleId="3" w:type="paragraph">
    <w:name w:val="heading 2"/>
    <w:basedOn w:val="1"/>
    <w:uiPriority w:val="0"/>
    <w:pPr>
      <w:spacing w:lineRule="auto"/>
      <w:outlineLvl w:val="0"/>
    </w:pPr>
    <w:rPr>
      <w:b w:val="on"/>
      <w:sz w:val="31"/>
    </w:rPr>
  </w:style>
  <w:style w:styleId="4" w:type="paragraph">
    <w:name w:val="heading 3"/>
    <w:basedOn w:val="1"/>
    <w:uiPriority w:val="0"/>
    <w:pPr>
      <w:spacing w:lineRule="auto"/>
      <w:outlineLvl w:val="0"/>
    </w:pPr>
    <w:rPr>
      <w:b w:val="on"/>
      <w:sz w:val="31"/>
    </w:rPr>
  </w:style>
  <w:style w:styleId="5" w:type="paragraph">
    <w:name w:val="heading 4"/>
    <w:basedOn w:val="1"/>
    <w:uiPriority w:val="0"/>
    <w:pPr>
      <w:spacing w:lineRule="auto"/>
      <w:outlineLvl w:val="0"/>
    </w:pPr>
    <w:rPr>
      <w:b w:val="on"/>
      <w:sz w:val="27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2026-10-29T12:17:13Z</dcterms:created>
  <dc:creator>Apache POI</dc:creator>
</cp:coreProperties>
</file>