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center"/>
        <w:rPr>
          <w:rFonts w:ascii="Times New Roman" w:hAnsi="Times New Roman" w:cs="Times New Roman"/>
          <w:b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color w:val="000000"/>
          <w:sz w:val="28"/>
        </w:rPr>
        <w:t xml:space="preserve">Проблемы возмещения вреда, причинённого муниципальными органами власти и их должностными лицами при осуществлении местного самоуправления</w:t>
      </w:r>
      <w:r>
        <w:rPr>
          <w:rFonts w:ascii="Times New Roman" w:hAnsi="Times New Roman" w:cs="Times New Roman"/>
          <w:b w:val="0"/>
          <w:color w:val="000000"/>
          <w:sz w:val="28"/>
        </w:rPr>
      </w:r>
      <w:r>
        <w:rPr>
          <w:rFonts w:ascii="Times New Roman" w:hAnsi="Times New Roman" w:cs="Times New Roman"/>
          <w:b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center"/>
        <w:rPr>
          <w:rFonts w:ascii="Times New Roman" w:hAnsi="Times New Roman" w:cs="Times New Roman"/>
          <w:b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color w:val="000000"/>
          <w:sz w:val="28"/>
        </w:rPr>
      </w:r>
      <w:r>
        <w:rPr>
          <w:rFonts w:ascii="Times New Roman" w:hAnsi="Times New Roman" w:cs="Times New Roman"/>
          <w:b w:val="0"/>
          <w:color w:val="000000"/>
          <w:sz w:val="28"/>
        </w:rPr>
      </w:r>
      <w:r>
        <w:rPr>
          <w:rFonts w:ascii="Times New Roman" w:hAnsi="Times New Roman" w:cs="Times New Roman"/>
          <w:b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right"/>
        <w:rPr>
          <w:rFonts w:ascii="Times New Roman" w:hAnsi="Times New Roman" w:cs="Times New Roman"/>
          <w:b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color w:val="000000"/>
          <w:sz w:val="28"/>
        </w:rPr>
        <w:t xml:space="preserve">Автор: Каталымов Дмитрий Игоревич – преподаватель</w:t>
      </w:r>
      <w:r>
        <w:rPr>
          <w:rFonts w:ascii="Times New Roman" w:hAnsi="Times New Roman" w:cs="Times New Roman"/>
          <w:b w:val="0"/>
          <w:color w:val="000000"/>
          <w:sz w:val="28"/>
        </w:rPr>
      </w:r>
      <w:r>
        <w:rPr>
          <w:rFonts w:ascii="Times New Roman" w:hAnsi="Times New Roman" w:cs="Times New Roman"/>
          <w:b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right"/>
        <w:rPr>
          <w:rFonts w:ascii="Times New Roman" w:hAnsi="Times New Roman" w:cs="Times New Roman"/>
          <w:b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color w:val="000000"/>
          <w:sz w:val="28"/>
        </w:rPr>
        <w:t xml:space="preserve">ГБПОУ «Тверского машиностроительного колледжа»</w:t>
      </w:r>
      <w:r>
        <w:rPr>
          <w:rFonts w:ascii="Times New Roman" w:hAnsi="Times New Roman" w:cs="Times New Roman"/>
          <w:b w:val="0"/>
          <w:color w:val="000000"/>
          <w:sz w:val="28"/>
        </w:rPr>
      </w:r>
      <w:r>
        <w:rPr>
          <w:rFonts w:ascii="Times New Roman" w:hAnsi="Times New Roman" w:cs="Times New Roman"/>
          <w:b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right"/>
        <w:rPr>
          <w:rFonts w:ascii="Times New Roman" w:hAnsi="Times New Roman" w:cs="Times New Roman"/>
          <w:b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color w:val="000000"/>
          <w:sz w:val="28"/>
        </w:rPr>
      </w:r>
      <w:r>
        <w:rPr>
          <w:rFonts w:ascii="Times New Roman" w:hAnsi="Times New Roman" w:cs="Times New Roman"/>
          <w:b w:val="0"/>
          <w:color w:val="000000"/>
          <w:sz w:val="28"/>
        </w:rPr>
      </w:r>
      <w:r>
        <w:rPr>
          <w:rFonts w:ascii="Times New Roman" w:hAnsi="Times New Roman" w:cs="Times New Roman"/>
          <w:b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В современном обществе вопросы защиты прав граждан и юридических лиц от неправомерных действий органов власти и их должностных лиц являются одними из наиболее актуальных. Особенно это касается сферы местного самоуправл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ения, где взаимодействие между властью и гражданами происходит наиболее интенсивно. В статье рассматриваются основные проблемы возмещения вреда, причинённого муниципальными органами власти и их должностными лицами при осуществлении местного самоуправления.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eastAsia="Times New Roman" w:cs="Times New Roman"/>
          <w:b w:val="0"/>
          <w:bCs w:val="0"/>
          <w:i w:val="0"/>
          <w:color w:val="000000"/>
          <w:sz w:val="28"/>
          <w:szCs w:val="28"/>
          <w:highlight w:val="none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bCs w:val="0"/>
          <w:i w:val="0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  <w:highlight w:val="none"/>
        </w:rPr>
        <w:t xml:space="preserve">Ключевые слова: возмещение вреда, органы местного самоуправления, муниципальные органы власти, Гражданский кодекс Российской Федерации.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  <w:highlight w:val="none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1. Правовые основы возмещения вреда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Возмещение вреда, причинённого действиями (бездействием) государственных органов, органов местного самоуправления и их должностных лиц, регулируется Гражданским кодексом Российской Федерации </w:t>
      </w:r>
      <w:r>
        <w:rPr>
          <w:rFonts w:ascii="Times New Roman" w:hAnsi="Times New Roman" w:eastAsia="Times New Roman" w:cs="Times New Roman"/>
          <w:b w:val="0"/>
          <w:i w:val="0"/>
          <w:color w:val="22272f"/>
          <w:sz w:val="28"/>
          <w:shd w:val="clear" w:color="auto" w:fill="ffffff"/>
        </w:rPr>
        <w:t xml:space="preserve">от 26 января 1996 г. № 14-ФЗ (с изменнениями и дополнениями)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 и иными нормативными правовыми актами (например, 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  <w:shd w:val="clear" w:color="auto" w:fill="ffffff"/>
        </w:rPr>
        <w:t xml:space="preserve">Федеральный закон от 06.10.2003 № 131-ФЗ «Об общих принципах организации местного самоуправления в Российской Федерации», Постановления Правительства РФ и другие)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В соответствии со статьей 1069 Гр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ажданского кодекса РФ: «Вред, причинённый гражданину или юридическому лицу в результате незаконных действий (бездействия) государственных органов, органов местного самоуправления либо должностных лиц этих органов, в том числе в результате издания не соотве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тствующего закону или иному правовому акту акта государственного органа или органа местного самоуправления, подлежит возмещению. Вред возмещается за счёт казны Российской Федерации, казны субъекта Российской Федерации или казны муниципального образования».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2. Проблемы возмещения вреда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Несмотря на наличие правовых норм, регулирующих вопросы возмещения вреда, причинённого муниципальными органами власти и их должностными лицами, на практике возникают ряд проблем: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2.1. Сложность доказывания факта причинения вреда.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Гражданам и юридическим лицам необходимо представить дока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зательства того, что вред был причинён именно в результате действий (бездействия) муниципальных органов или их должностных лиц. Это может быть затруднительно, особенно в случаях, когда такие действия (бездействие) носят косвенный или неочевидный характер. 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2.2. Определение размера вреда. 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Оценка размера вре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да, причинённого имуществу или здоровью гражданина, также может быть сложной задачей. Необходимо учитывать все факторы, влияющие на размер вреда, включая степень вины причинителя вреда, характер и объём причинённых повреждений, а также иные обстоятельства.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2.3. Процессуальные сложности.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Во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змещение вреда в судебном порядке может быть затруднено из-за сложных процедур и бюрократических барьеров. Гражданам и юридическим лицам может потребоваться помощь квалифицированных юристов для подготовки документов и представления своих интересов в суде. 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2.4. Недостаточная прозрачность и подотчётность муниципальных органов. 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Отсутствие прозрачности в деятельности муниципальных органов может затруднить выявление случаев причинения вреда и привлечение виновных лиц к ответственности.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br/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2.5. Нежелание муниципальных органов признавать свою вину и возмещать вред.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В некоторых случаях муниципальные органы могут пытаться уклониться от признания своей вины и возмещения вреда, ссылаясь на различные обстоятельства или аргументы.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3. Пути решения проблем. 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Для решения проблем возмещения вреда, причинённого муниципальными органами власти и их должностными лицами, необходимо: 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3.1. Совершенствовать законодательство. 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Необходимо уточнить и конкретизировать нормы, регулирующие вопросы возмещения вреда, чтобы облегчить гражданам и юридическим лицам процесс доказывания и оценки размера вреда. В частности: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Дополнить Федеральный закон № 131-ФЗ положениями о возмещении вреда: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br/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- Внести прямые нормы, регулирующие порядок возмещения вреда, причиненного действиями или бездействием органов местного самоуправления.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br/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- Определить критерии и основания для признания действий органов местного самоуправления неправомерными.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Создать отдельный федеральный закон: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- Разработать и принять специализированный закон, регулирующий ответственность органов местного самоуправления за причинение вреда.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- Включить в этот закон положения о порядке и сроках подачи исков, а также о процедурах рассмотрения таких дел.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Создать механизмы досудебного урегулирования споров: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- Разработать и внедрить механизмы досудебного урегулирования споров между гражданами и органами местного самоуправления.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- Создать специализированные комиссии или органы, которые будут рассматривать жалобы и предложения граждан по вопросам возмещения вреда.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Обеспечить прозрачность и подотчётность муниципальных органов.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Развитие механизмов общественного контроля и повышение прозрачности деятельности муниципальных органов могут помочь выявить случаи причинения вреда и привлечь виновных лиц к ответственности. 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Таким образом, вопросы возмещения вреда, причинённого муниципальными органами власти и их должностными лицами, являются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 важными для обеспечения прав и свобод граждан. Для решения существующих проблем необходимо совершенствовать законодательство, обеспечивать прозрачность и подотчётность муниципальных органов, усиливать роль судов и обеспечивать доступ к юридической помощи.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48"/>
        <w:suppressLineNumbers w:val="false"/>
        <w:pBdr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</w:p>
    <w:p>
      <w:pPr>
        <w:pStyle w:val="848"/>
        <w:suppressLineNumbers w:val="false"/>
        <w:pBdr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color w:val="00000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Нормативные правовые акты, использованные для разработки статьи на тему «Проблемы возмещения вреда, причинённого муниципальными органами власти и их должностными лицами при осуществлении местного самоуправления»:</w:t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  <w:r>
        <w:rPr>
          <w:rFonts w:ascii="Times New Roman" w:hAnsi="Times New Roman" w:cs="Times New Roman"/>
          <w:b w:val="0"/>
          <w:i w:val="0"/>
          <w:color w:val="000000"/>
          <w:sz w:val="28"/>
        </w:rPr>
      </w:r>
    </w:p>
    <w:p>
      <w:pPr>
        <w:pStyle w:val="852"/>
        <w:suppressLineNumbers w:val="false"/>
        <w:pBdr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1. </w:t>
      </w: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</w:rPr>
        <w:t xml:space="preserve">«Конституция Российской Федерации» (принята всенародным голосованием 12.12.1993 с изменениями, одобренными в ходе общероссийского голосования 01.07.2020) // </w:t>
      </w: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Официальный интернет-портале правовой информации </w:t>
      </w:r>
      <w:hyperlink r:id="rId9" w:tooltip="http://www.pravo.gov.ru" w:history="1">
        <w:r>
          <w:rPr>
            <w:rFonts w:ascii="Times New Roman" w:hAnsi="Times New Roman" w:eastAsia="Times New Roman" w:cs="Times New Roman"/>
            <w:b w:val="0"/>
            <w:i w:val="0"/>
            <w:sz w:val="28"/>
          </w:rPr>
          <w:t xml:space="preserve">http://www.pravo.gov.ru</w:t>
        </w:r>
      </w:hyperlink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, 04.07.2020</w:t>
      </w:r>
      <w:r>
        <w:rPr>
          <w:rFonts w:ascii="Times New Roman" w:hAnsi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  <w:shd w:val="clear" w:color="auto" w:fill="ffffff"/>
        </w:rPr>
        <w:t xml:space="preserve">2. </w:t>
      </w:r>
      <w:r>
        <w:rPr>
          <w:rFonts w:ascii="Times New Roman" w:hAnsi="Times New Roman" w:eastAsia="Times New Roman" w:cs="Times New Roman"/>
          <w:b w:val="0"/>
          <w:i w:val="0"/>
          <w:color w:val="000000"/>
          <w:spacing w:val="0"/>
          <w:sz w:val="28"/>
          <w:shd w:val="clear" w:color="auto" w:fill="ffffff"/>
        </w:rPr>
        <w:t xml:space="preserve">«Гражданский кодекс Российской Федерации (часть первая)» от 30.11.1994 № 51-ФЗ (ред. от 31.07.2025) (с изм. и доп., вступ. в силу с 01.08.2025) // </w:t>
      </w: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«Собрание законодательства РФ», 05.12.1994, № 32, ст. 3301,</w:t>
      </w:r>
      <w:r>
        <w:rPr>
          <w:rFonts w:ascii="Times New Roman" w:hAnsi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</w:p>
    <w:p>
      <w:pPr>
        <w:pStyle w:val="852"/>
        <w:suppressLineNumbers w:val="false"/>
        <w:pBdr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color w:val="000000"/>
          <w:sz w:val="28"/>
          <w:shd w:val="clear" w:color="auto" w:fill="ffffff"/>
        </w:rPr>
        <w:t xml:space="preserve">3. </w:t>
      </w:r>
      <w:r>
        <w:rPr>
          <w:rFonts w:ascii="Times New Roman" w:hAnsi="Times New Roman" w:eastAsia="Times New Roman" w:cs="Times New Roman"/>
          <w:b w:val="0"/>
          <w:i w:val="0"/>
          <w:color w:val="000000"/>
          <w:spacing w:val="0"/>
          <w:sz w:val="28"/>
          <w:shd w:val="clear" w:color="auto" w:fill="ffffff"/>
        </w:rPr>
        <w:t xml:space="preserve">«Гражданский кодекс Российской Федерации (часть вторая)» от 26.01.1996 № 14-ФЗ (ред. от 24.06.2025) // </w:t>
      </w:r>
      <w:r>
        <w:rPr>
          <w:rFonts w:ascii="Times New Roman" w:hAnsi="Times New Roman" w:eastAsia="Times New Roman" w:cs="Times New Roman"/>
          <w:b w:val="0"/>
          <w:i w:val="0"/>
          <w:sz w:val="28"/>
          <w:shd w:val="clear" w:color="auto" w:fill="ffffff"/>
        </w:rPr>
        <w:t xml:space="preserve">«</w:t>
      </w: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Собрание законодательства РФ», 29.01.1996, № 5, ст. 410</w:t>
      </w:r>
      <w:r>
        <w:rPr>
          <w:rFonts w:ascii="Times New Roman" w:hAnsi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</w:p>
    <w:p>
      <w:pPr>
        <w:pStyle w:val="852"/>
        <w:suppressLineNumbers w:val="false"/>
        <w:pBdr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4</w:t>
      </w:r>
      <w:r>
        <w:rPr>
          <w:rFonts w:ascii="Times New Roman" w:hAnsi="Times New Roman" w:eastAsia="Times New Roman" w:cs="Times New Roman"/>
          <w:b w:val="0"/>
          <w:i w:val="0"/>
          <w:sz w:val="28"/>
          <w:shd w:val="clear" w:color="auto" w:fill="ffffff"/>
        </w:rPr>
        <w:t xml:space="preserve">. </w:t>
      </w:r>
      <w:r>
        <w:rPr>
          <w:rFonts w:ascii="Times New Roman" w:hAnsi="Times New Roman" w:eastAsia="Times New Roman" w:cs="Times New Roman"/>
          <w:b w:val="0"/>
          <w:i w:val="0"/>
          <w:color w:val="000000"/>
          <w:spacing w:val="0"/>
          <w:sz w:val="28"/>
          <w:shd w:val="clear" w:color="auto" w:fill="ffffff"/>
        </w:rPr>
        <w:t xml:space="preserve">«Гражданский кодекс Российской Федерации (часть третья)» от 26.11.2001 № 146-ФЗ (ред. от 08.08.2024) // «</w:t>
      </w: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Парламентская газета», № 224, 28.11.2001</w:t>
      </w:r>
      <w:r>
        <w:rPr>
          <w:rFonts w:ascii="Times New Roman" w:hAnsi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</w:p>
    <w:p>
      <w:pPr>
        <w:pStyle w:val="852"/>
        <w:suppressLineNumbers w:val="false"/>
        <w:pBdr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5. </w:t>
      </w:r>
      <w:r>
        <w:rPr>
          <w:rFonts w:ascii="Times New Roman" w:hAnsi="Times New Roman" w:eastAsia="Times New Roman" w:cs="Times New Roman"/>
          <w:b w:val="0"/>
          <w:i w:val="0"/>
          <w:color w:val="000000"/>
          <w:spacing w:val="0"/>
          <w:sz w:val="28"/>
          <w:shd w:val="clear" w:color="auto" w:fill="ffffff"/>
        </w:rPr>
        <w:t xml:space="preserve">«Гражданский кодекс Российской Федерации (часть четвертая)» от 18.12.2006 № 230-ФЗ (ред. от 23.07.2025) // </w:t>
      </w: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«Парламентская газета», № 214-215, 21.12.2006</w:t>
      </w:r>
      <w:r>
        <w:rPr>
          <w:rFonts w:ascii="Times New Roman" w:hAnsi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</w:p>
    <w:p>
      <w:pPr>
        <w:pStyle w:val="852"/>
        <w:suppressLineNumbers w:val="false"/>
        <w:pBdr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6. </w:t>
      </w:r>
      <w:r>
        <w:rPr>
          <w:rFonts w:ascii="Times New Roman" w:hAnsi="Times New Roman" w:eastAsia="Times New Roman" w:cs="Times New Roman"/>
          <w:b w:val="0"/>
          <w:i w:val="0"/>
          <w:color w:val="000000"/>
          <w:spacing w:val="0"/>
          <w:sz w:val="28"/>
          <w:shd w:val="clear" w:color="auto" w:fill="ffffff"/>
        </w:rPr>
        <w:t xml:space="preserve">Федеральный закон от 06.10.2003 № 131-ФЗ (ред. от 20.03.2025) «Об общих принципах организации местного самоуправления в Российской Федерации» // </w:t>
      </w:r>
      <w:r>
        <w:rPr>
          <w:rFonts w:ascii="Times New Roman" w:hAnsi="Times New Roman" w:eastAsia="Times New Roman" w:cs="Times New Roman"/>
          <w:b w:val="0"/>
          <w:i w:val="0"/>
          <w:sz w:val="28"/>
          <w:shd w:val="clear" w:color="auto" w:fill="ffffff"/>
        </w:rPr>
        <w:t xml:space="preserve">«Собрание</w:t>
      </w: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 законодательства РФ», 06.10.2003, № 40, ст. 3822</w:t>
      </w:r>
      <w:r>
        <w:rPr>
          <w:rFonts w:ascii="Times New Roman" w:hAnsi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</w:p>
    <w:p>
      <w:pPr>
        <w:pStyle w:val="852"/>
        <w:suppressLineNumbers w:val="false"/>
        <w:pBdr/>
        <w:shd w:val="clear" w:color="auto" w:fill="ffffff"/>
        <w:spacing w:after="0" w:afterAutospacing="0" w:before="0" w:beforeAutospacing="0" w:line="360" w:lineRule="auto"/>
        <w:ind w:firstLine="709" w:left="0"/>
        <w:contextualSpacing w:val="true"/>
        <w:jc w:val="both"/>
        <w:rPr>
          <w:rFonts w:ascii="Times New Roman" w:hAnsi="Times New Roman" w:cs="Times New Roman"/>
          <w:b w:val="0"/>
          <w:i w:val="0"/>
          <w:sz w:val="28"/>
        </w:rPr>
      </w:pPr>
      <w:r>
        <w:rPr>
          <w:rFonts w:ascii="Times New Roman" w:hAnsi="Times New Roman" w:eastAsia="Times New Roman" w:cs="Times New Roman"/>
          <w:b w:val="0"/>
          <w:i w:val="0"/>
          <w:sz w:val="28"/>
        </w:rPr>
        <w:t xml:space="preserve">и другие федеральные законы, подзаконные акты, законы субъектов РФ, акты органов местного самоуправления.</w:t>
      </w:r>
      <w:r>
        <w:rPr>
          <w:rFonts w:ascii="Times New Roman" w:hAnsi="Times New Roman" w:cs="Times New Roman"/>
          <w:b w:val="0"/>
          <w:i w:val="0"/>
          <w:sz w:val="28"/>
        </w:rPr>
      </w:r>
      <w:r>
        <w:rPr>
          <w:rFonts w:ascii="Times New Roman" w:hAnsi="Times New Roman" w:cs="Times New Roman"/>
          <w:b w:val="0"/>
          <w:i w:val="0"/>
          <w:sz w:val="28"/>
        </w:rPr>
      </w:r>
    </w:p>
    <w:sectPr>
      <w:footnotePr>
        <w:pos w:val="pageBottom"/>
      </w:footnotePr>
      <w:endnotePr/>
      <w:type w:val="nextPage"/>
      <w:pgSz w:h="15840" w:orient="portrait" w:w="12240"/>
      <w:pgMar w:top="1134" w:right="850" w:bottom="1134" w:left="1701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Style w:val="848"/>
        <w:pBdr/>
        <w:spacing w:after="160" w:before="0" w:line="240" w:lineRule="auto"/>
        <w:ind w:left="0"/>
        <w:jc w:val="left"/>
        <w:rPr>
          <w:rFonts w:ascii="TimesNewRoman" w:hAnsi="TimesNewRoman" w:eastAsia="TimesNewRoman" w:cs="TimesNewRoman"/>
          <w:sz w:val="24"/>
        </w:rPr>
      </w:pPr>
      <w:r>
        <w:rPr>
          <w:rFonts w:ascii="TimesNewRoman" w:hAnsi="TimesNewRoman" w:eastAsia="TimesNewRoman" w:cs="TimesNewRoman"/>
          <w:sz w:val="24"/>
        </w:rPr>
        <w:separator/>
      </w:r>
      <w:r>
        <w:rPr>
          <w:rFonts w:ascii="TimesNewRoman" w:hAnsi="TimesNewRoman" w:eastAsia="TimesNewRoman" w:cs="TimesNewRoman"/>
          <w:sz w:val="24"/>
        </w:rPr>
      </w:r>
      <w:r>
        <w:rPr>
          <w:rFonts w:ascii="TimesNewRoman" w:hAnsi="TimesNewRoman" w:eastAsia="TimesNewRoman" w:cs="TimesNewRoman"/>
          <w:sz w:val="24"/>
        </w:rPr>
      </w:r>
    </w:p>
  </w:endnote>
  <w:endnote w:type="continuationSeparator" w:id="0">
    <w:p>
      <w:pPr>
        <w:pStyle w:val="848"/>
        <w:pBdr/>
        <w:spacing w:after="160" w:before="0" w:line="240" w:lineRule="auto"/>
        <w:ind w:left="0"/>
        <w:jc w:val="left"/>
        <w:rPr>
          <w:rFonts w:ascii="TimesNewRoman" w:hAnsi="TimesNewRoman" w:eastAsia="TimesNewRoman" w:cs="TimesNewRoman"/>
          <w:sz w:val="24"/>
        </w:rPr>
      </w:pPr>
      <w:r>
        <w:rPr>
          <w:rFonts w:ascii="TimesNewRoman" w:hAnsi="TimesNewRoman" w:eastAsia="TimesNewRoman" w:cs="TimesNewRoman"/>
          <w:sz w:val="24"/>
        </w:rPr>
        <w:separator/>
      </w:r>
      <w:r>
        <w:rPr>
          <w:rFonts w:ascii="TimesNewRoman" w:hAnsi="TimesNewRoman" w:eastAsia="TimesNewRoman" w:cs="TimesNewRoman"/>
          <w:sz w:val="24"/>
        </w:rPr>
      </w:r>
      <w:r>
        <w:rPr>
          <w:rFonts w:ascii="TimesNewRoman" w:hAnsi="TimesNewRoman" w:eastAsia="TimesNewRoman" w:cs="TimesNewRoman"/>
          <w:sz w:val="24"/>
        </w:rPr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imesNew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48"/>
        <w:pBdr/>
        <w:spacing w:after="160" w:before="0" w:line="240" w:lineRule="auto"/>
        <w:ind w:left="0"/>
        <w:jc w:val="left"/>
        <w:rPr>
          <w:rFonts w:ascii="TimesNewRoman" w:hAnsi="TimesNewRoman" w:eastAsia="TimesNewRoman" w:cs="TimesNewRoman"/>
          <w:sz w:val="24"/>
        </w:rPr>
      </w:pPr>
      <w:r>
        <w:rPr>
          <w:rFonts w:ascii="TimesNewRoman" w:hAnsi="TimesNewRoman" w:eastAsia="TimesNewRoman" w:cs="TimesNewRoman"/>
          <w:sz w:val="24"/>
        </w:rPr>
        <w:separator/>
      </w:r>
      <w:r>
        <w:rPr>
          <w:rFonts w:ascii="TimesNewRoman" w:hAnsi="TimesNewRoman" w:eastAsia="TimesNewRoman" w:cs="TimesNewRoman"/>
          <w:sz w:val="24"/>
        </w:rPr>
      </w:r>
      <w:r>
        <w:rPr>
          <w:rFonts w:ascii="TimesNewRoman" w:hAnsi="TimesNewRoman" w:eastAsia="TimesNewRoman" w:cs="TimesNewRoman"/>
          <w:sz w:val="24"/>
        </w:rPr>
      </w:r>
    </w:p>
  </w:footnote>
  <w:footnote w:type="continuationSeparator" w:id="0">
    <w:p>
      <w:pPr>
        <w:pStyle w:val="848"/>
        <w:pBdr/>
        <w:spacing w:after="160" w:before="0" w:line="240" w:lineRule="auto"/>
        <w:ind w:left="0"/>
        <w:jc w:val="left"/>
        <w:rPr>
          <w:rFonts w:ascii="TimesNewRoman" w:hAnsi="TimesNewRoman" w:eastAsia="TimesNewRoman" w:cs="TimesNewRoman"/>
          <w:sz w:val="24"/>
        </w:rPr>
      </w:pPr>
      <w:r>
        <w:rPr>
          <w:rFonts w:ascii="TimesNewRoman" w:hAnsi="TimesNewRoman" w:eastAsia="TimesNewRoman" w:cs="TimesNewRoman"/>
          <w:sz w:val="24"/>
        </w:rPr>
        <w:continuationSeparator/>
      </w:r>
      <w:r>
        <w:rPr>
          <w:rFonts w:ascii="TimesNewRoman" w:hAnsi="TimesNewRoman" w:eastAsia="TimesNewRoman" w:cs="TimesNewRoman"/>
          <w:sz w:val="24"/>
        </w:rPr>
      </w:r>
      <w:r>
        <w:rPr>
          <w:rFonts w:ascii="TimesNewRoman" w:hAnsi="TimesNewRoman" w:eastAsia="TimesNewRoman" w:cs="TimesNewRoman"/>
          <w:sz w:val="24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3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spacing/>
        <w:ind w:hanging="3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spacing/>
        <w:ind w:hanging="3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spacing/>
        <w:ind w:hanging="3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spacing/>
        <w:ind w:hanging="36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3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spacing/>
        <w:ind w:hanging="3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spacing/>
        <w:ind w:hanging="3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spacing/>
        <w:ind w:hanging="3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spacing/>
        <w:ind w:hanging="36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3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spacing/>
        <w:ind w:hanging="3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spacing/>
        <w:ind w:hanging="3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spacing/>
        <w:ind w:hanging="3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spacing/>
        <w:ind w:hanging="36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6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spacing/>
        <w:ind w:hanging="3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spacing/>
        <w:ind w:hanging="36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spacing/>
        <w:ind w:hanging="3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spacing/>
        <w:ind w:hanging="3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spacing/>
        <w:ind w:hanging="360"/>
      </w:pPr>
      <w:rPr/>
      <w:start w:val="1"/>
      <w:suff w:val="tab"/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beneathText"/>
    <w:numFmt w:val="decimal"/>
    <w:numStart w:val="1"/>
    <w:numRestart w:val="continuous"/>
    <w:footnote w:id="-1"/>
    <w:footnote w:id="0"/>
  </w:footnotePr>
  <w:endnotePr>
    <w:pos w:val="sectEnd"/>
    <w:numFmt w:val="lowerRoman"/>
    <w:numStart w:val="1"/>
    <w:numRestart w:val="eachSect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2">
    <w:name w:val="Heading 1 Char"/>
    <w:basedOn w:val="850"/>
    <w:pPr>
      <w:pBdr/>
      <w:spacing/>
      <w:ind/>
    </w:pPr>
    <w:rPr>
      <w:rFonts w:ascii="Arial" w:hAnsi="Arial" w:eastAsia="Arial" w:cs="Arial"/>
      <w:sz w:val="40"/>
    </w:rPr>
  </w:style>
  <w:style w:type="paragraph" w:styleId="673">
    <w:name w:val="Heading 2"/>
    <w:basedOn w:val="848"/>
    <w:unhideWhenUsed/>
    <w:qFormat/>
    <w:pPr>
      <w:keepNext w:val="true"/>
      <w:keepLines w:val="true"/>
      <w:pBdr/>
      <w:spacing w:after="200" w:before="360" w:line="240" w:lineRule="auto"/>
      <w:ind/>
      <w:jc w:val="left"/>
      <w:outlineLvl w:val="1"/>
    </w:pPr>
    <w:rPr>
      <w:rFonts w:ascii="Arial" w:hAnsi="Arial" w:eastAsia="Arial" w:cs="Arial"/>
      <w:sz w:val="34"/>
    </w:rPr>
  </w:style>
  <w:style w:type="character" w:styleId="674">
    <w:name w:val="Heading 2 Char"/>
    <w:basedOn w:val="850"/>
    <w:pPr>
      <w:pBdr/>
      <w:spacing/>
      <w:ind/>
    </w:pPr>
    <w:rPr>
      <w:rFonts w:ascii="Arial" w:hAnsi="Arial" w:eastAsia="Arial" w:cs="Arial"/>
      <w:sz w:val="34"/>
    </w:rPr>
  </w:style>
  <w:style w:type="paragraph" w:styleId="675">
    <w:name w:val="Heading 3"/>
    <w:basedOn w:val="84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2"/>
    </w:pPr>
    <w:rPr>
      <w:rFonts w:ascii="Arial" w:hAnsi="Arial" w:eastAsia="Arial" w:cs="Arial"/>
      <w:sz w:val="30"/>
    </w:rPr>
  </w:style>
  <w:style w:type="character" w:styleId="676">
    <w:name w:val="Heading 3 Char"/>
    <w:basedOn w:val="850"/>
    <w:pPr>
      <w:pBdr/>
      <w:spacing/>
      <w:ind/>
    </w:pPr>
    <w:rPr>
      <w:rFonts w:ascii="Arial" w:hAnsi="Arial" w:eastAsia="Arial" w:cs="Arial"/>
      <w:sz w:val="30"/>
    </w:rPr>
  </w:style>
  <w:style w:type="paragraph" w:styleId="677">
    <w:name w:val="Heading 4"/>
    <w:basedOn w:val="84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3"/>
    </w:pPr>
    <w:rPr>
      <w:rFonts w:ascii="Arial" w:hAnsi="Arial" w:eastAsia="Arial" w:cs="Arial"/>
      <w:b/>
      <w:sz w:val="26"/>
    </w:rPr>
  </w:style>
  <w:style w:type="character" w:styleId="678">
    <w:name w:val="Heading 4 Char"/>
    <w:basedOn w:val="850"/>
    <w:pPr>
      <w:pBdr/>
      <w:spacing/>
      <w:ind/>
    </w:pPr>
    <w:rPr>
      <w:rFonts w:ascii="Arial" w:hAnsi="Arial" w:eastAsia="Arial" w:cs="Arial"/>
      <w:b/>
      <w:sz w:val="26"/>
    </w:rPr>
  </w:style>
  <w:style w:type="paragraph" w:styleId="679">
    <w:name w:val="Heading 5"/>
    <w:basedOn w:val="84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4"/>
    </w:pPr>
    <w:rPr>
      <w:rFonts w:ascii="Arial" w:hAnsi="Arial" w:eastAsia="Arial" w:cs="Arial"/>
      <w:b/>
      <w:sz w:val="24"/>
    </w:rPr>
  </w:style>
  <w:style w:type="character" w:styleId="680">
    <w:name w:val="Heading 5 Char"/>
    <w:basedOn w:val="850"/>
    <w:pPr>
      <w:pBdr/>
      <w:spacing/>
      <w:ind/>
    </w:pPr>
    <w:rPr>
      <w:rFonts w:ascii="Arial" w:hAnsi="Arial" w:eastAsia="Arial" w:cs="Arial"/>
      <w:b/>
      <w:sz w:val="24"/>
    </w:rPr>
  </w:style>
  <w:style w:type="paragraph" w:styleId="681">
    <w:name w:val="Heading 6"/>
    <w:basedOn w:val="84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5"/>
    </w:pPr>
    <w:rPr>
      <w:rFonts w:ascii="Arial" w:hAnsi="Arial" w:eastAsia="Arial" w:cs="Arial"/>
      <w:b/>
      <w:sz w:val="22"/>
    </w:rPr>
  </w:style>
  <w:style w:type="character" w:styleId="682">
    <w:name w:val="Heading 6 Char"/>
    <w:basedOn w:val="850"/>
    <w:pPr>
      <w:pBdr/>
      <w:spacing/>
      <w:ind/>
    </w:pPr>
    <w:rPr>
      <w:rFonts w:ascii="Arial" w:hAnsi="Arial" w:eastAsia="Arial" w:cs="Arial"/>
      <w:b/>
      <w:sz w:val="22"/>
    </w:rPr>
  </w:style>
  <w:style w:type="paragraph" w:styleId="683">
    <w:name w:val="Heading 7"/>
    <w:basedOn w:val="84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6"/>
    </w:pPr>
    <w:rPr>
      <w:rFonts w:ascii="Arial" w:hAnsi="Arial" w:eastAsia="Arial" w:cs="Arial"/>
      <w:b/>
      <w:i/>
      <w:sz w:val="22"/>
    </w:rPr>
  </w:style>
  <w:style w:type="character" w:styleId="684">
    <w:name w:val="Heading 7 Char"/>
    <w:basedOn w:val="850"/>
    <w:pPr>
      <w:pBdr/>
      <w:spacing/>
      <w:ind/>
    </w:pPr>
    <w:rPr>
      <w:rFonts w:ascii="Arial" w:hAnsi="Arial" w:eastAsia="Arial" w:cs="Arial"/>
      <w:b/>
      <w:i/>
      <w:sz w:val="22"/>
    </w:rPr>
  </w:style>
  <w:style w:type="paragraph" w:styleId="685">
    <w:name w:val="Heading 8"/>
    <w:basedOn w:val="84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7"/>
    </w:pPr>
    <w:rPr>
      <w:rFonts w:ascii="Arial" w:hAnsi="Arial" w:eastAsia="Arial" w:cs="Arial"/>
      <w:i/>
      <w:sz w:val="22"/>
    </w:rPr>
  </w:style>
  <w:style w:type="character" w:styleId="686">
    <w:name w:val="Heading 8 Char"/>
    <w:basedOn w:val="850"/>
    <w:pPr>
      <w:pBdr/>
      <w:spacing/>
      <w:ind/>
    </w:pPr>
    <w:rPr>
      <w:rFonts w:ascii="Arial" w:hAnsi="Arial" w:eastAsia="Arial" w:cs="Arial"/>
      <w:i/>
      <w:sz w:val="22"/>
    </w:rPr>
  </w:style>
  <w:style w:type="paragraph" w:styleId="687">
    <w:name w:val="Heading 9"/>
    <w:basedOn w:val="848"/>
    <w:unhideWhenUsed/>
    <w:qFormat/>
    <w:pPr>
      <w:keepNext w:val="true"/>
      <w:keepLines w:val="true"/>
      <w:pBdr/>
      <w:spacing w:after="200" w:before="320" w:line="240" w:lineRule="auto"/>
      <w:ind/>
      <w:jc w:val="left"/>
      <w:outlineLvl w:val="8"/>
    </w:pPr>
    <w:rPr>
      <w:rFonts w:ascii="Arial" w:hAnsi="Arial" w:eastAsia="Arial" w:cs="Arial"/>
      <w:i/>
      <w:sz w:val="21"/>
    </w:rPr>
  </w:style>
  <w:style w:type="character" w:styleId="688">
    <w:name w:val="Heading 9 Char"/>
    <w:basedOn w:val="850"/>
    <w:pPr>
      <w:pBdr/>
      <w:spacing/>
      <w:ind/>
    </w:pPr>
    <w:rPr>
      <w:rFonts w:ascii="Arial" w:hAnsi="Arial" w:eastAsia="Arial" w:cs="Arial"/>
      <w:i/>
      <w:sz w:val="21"/>
    </w:rPr>
  </w:style>
  <w:style w:type="paragraph" w:styleId="689">
    <w:name w:val="List Paragraph"/>
    <w:basedOn w:val="848"/>
    <w:qFormat/>
    <w:pPr>
      <w:pBdr/>
      <w:spacing w:after="0" w:before="0" w:line="240" w:lineRule="auto"/>
      <w:ind w:left="720"/>
      <w:contextualSpacing w:val="true"/>
      <w:jc w:val="left"/>
    </w:pPr>
    <w:rPr>
      <w:rFonts w:ascii="Arial" w:hAnsi="Arial" w:eastAsia="Arial" w:cs="Arial"/>
      <w:sz w:val="24"/>
    </w:rPr>
  </w:style>
  <w:style w:type="paragraph" w:styleId="690">
    <w:name w:val="No Spacing"/>
    <w:qFormat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</w:style>
  <w:style w:type="paragraph" w:styleId="691">
    <w:name w:val="Title"/>
    <w:basedOn w:val="848"/>
    <w:qFormat/>
    <w:pPr>
      <w:pBdr/>
      <w:spacing w:after="200" w:before="300" w:line="240" w:lineRule="auto"/>
      <w:ind/>
      <w:contextualSpacing w:val="true"/>
      <w:jc w:val="left"/>
    </w:pPr>
    <w:rPr>
      <w:rFonts w:ascii="Arial" w:hAnsi="Arial" w:eastAsia="Arial" w:cs="Arial"/>
      <w:sz w:val="48"/>
    </w:rPr>
  </w:style>
  <w:style w:type="character" w:styleId="692">
    <w:name w:val="Title Char"/>
    <w:basedOn w:val="850"/>
    <w:pPr>
      <w:pBdr/>
      <w:spacing/>
      <w:ind/>
    </w:pPr>
    <w:rPr>
      <w:rFonts w:ascii="Arial" w:hAnsi="Arial" w:eastAsia="Arial" w:cs="Arial"/>
      <w:sz w:val="48"/>
    </w:rPr>
  </w:style>
  <w:style w:type="paragraph" w:styleId="693">
    <w:name w:val="Subtitle"/>
    <w:basedOn w:val="848"/>
    <w:qFormat/>
    <w:pPr>
      <w:pBdr/>
      <w:spacing w:after="200" w:before="200" w:line="240" w:lineRule="auto"/>
      <w:ind/>
      <w:jc w:val="left"/>
    </w:pPr>
    <w:rPr>
      <w:rFonts w:ascii="Arial" w:hAnsi="Arial" w:eastAsia="Arial" w:cs="Arial"/>
      <w:sz w:val="24"/>
    </w:rPr>
  </w:style>
  <w:style w:type="character" w:styleId="694">
    <w:name w:val="Subtitle Char"/>
    <w:basedOn w:val="850"/>
    <w:pPr>
      <w:pBdr/>
      <w:spacing/>
      <w:ind/>
    </w:pPr>
    <w:rPr>
      <w:rFonts w:ascii="Arial" w:hAnsi="Arial" w:eastAsia="Arial" w:cs="Arial"/>
      <w:sz w:val="24"/>
    </w:rPr>
  </w:style>
  <w:style w:type="paragraph" w:styleId="695">
    <w:name w:val="Quote"/>
    <w:basedOn w:val="848"/>
    <w:qFormat/>
    <w:pPr>
      <w:pBdr/>
      <w:spacing w:after="0" w:before="0" w:line="240" w:lineRule="auto"/>
      <w:ind w:left="720"/>
      <w:jc w:val="left"/>
    </w:pPr>
    <w:rPr>
      <w:rFonts w:ascii="Arial" w:hAnsi="Arial" w:eastAsia="Arial" w:cs="Arial"/>
      <w:i/>
      <w:sz w:val="24"/>
    </w:rPr>
  </w:style>
  <w:style w:type="character" w:styleId="696">
    <w:name w:val="Quote Char"/>
    <w:pPr>
      <w:pBdr/>
      <w:spacing/>
      <w:ind/>
    </w:pPr>
    <w:rPr>
      <w:rFonts w:ascii="Arial" w:hAnsi="Arial" w:eastAsia="Arial" w:cs="Arial"/>
      <w:i/>
      <w:sz w:val="24"/>
    </w:rPr>
  </w:style>
  <w:style w:type="paragraph" w:styleId="697">
    <w:name w:val="Intense Quote"/>
    <w:basedOn w:val="848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 w:after="0" w:before="0" w:line="240" w:lineRule="auto"/>
      <w:ind w:left="720"/>
      <w:contextualSpacing w:val="false"/>
      <w:jc w:val="left"/>
    </w:pPr>
    <w:rPr>
      <w:rFonts w:ascii="Arial" w:hAnsi="Arial" w:eastAsia="Arial" w:cs="Arial"/>
      <w:i/>
      <w:sz w:val="24"/>
    </w:rPr>
  </w:style>
  <w:style w:type="character" w:styleId="698">
    <w:name w:val="Intense Quote Char"/>
    <w:pPr>
      <w:pBdr/>
      <w:spacing/>
      <w:ind/>
    </w:pPr>
    <w:rPr>
      <w:rFonts w:ascii="Arial" w:hAnsi="Arial" w:eastAsia="Arial" w:cs="Arial"/>
      <w:i/>
      <w:sz w:val="24"/>
    </w:rPr>
  </w:style>
  <w:style w:type="paragraph" w:styleId="699">
    <w:name w:val="Header"/>
    <w:basedOn w:val="848"/>
    <w:unhideWhenUsed/>
    <w:pPr>
      <w:pBdr/>
      <w:tabs>
        <w:tab w:val="center" w:leader="none" w:pos="7143"/>
        <w:tab w:val="right" w:leader="none" w:pos="14287"/>
      </w:tabs>
      <w:spacing w:after="0" w:before="0" w:line="240" w:lineRule="auto"/>
      <w:ind/>
      <w:jc w:val="left"/>
    </w:pPr>
    <w:rPr>
      <w:rFonts w:ascii="Arial" w:hAnsi="Arial" w:eastAsia="Arial" w:cs="Arial"/>
      <w:sz w:val="24"/>
    </w:rPr>
  </w:style>
  <w:style w:type="character" w:styleId="700">
    <w:name w:val="Header Char"/>
    <w:basedOn w:val="850"/>
    <w:pPr>
      <w:pBdr/>
      <w:spacing/>
      <w:ind/>
    </w:pPr>
    <w:rPr>
      <w:rFonts w:ascii="Arial" w:hAnsi="Arial" w:eastAsia="Arial" w:cs="Arial"/>
      <w:sz w:val="24"/>
    </w:rPr>
  </w:style>
  <w:style w:type="paragraph" w:styleId="701">
    <w:name w:val="Footer"/>
    <w:basedOn w:val="848"/>
    <w:unhideWhenUsed/>
    <w:pPr>
      <w:pBdr/>
      <w:tabs>
        <w:tab w:val="center" w:leader="none" w:pos="7143"/>
        <w:tab w:val="right" w:leader="none" w:pos="14287"/>
      </w:tabs>
      <w:spacing w:after="0" w:before="0" w:line="240" w:lineRule="auto"/>
      <w:ind/>
      <w:jc w:val="left"/>
    </w:pPr>
    <w:rPr>
      <w:rFonts w:ascii="Arial" w:hAnsi="Arial" w:eastAsia="Arial" w:cs="Arial"/>
      <w:sz w:val="24"/>
    </w:rPr>
  </w:style>
  <w:style w:type="character" w:styleId="702">
    <w:name w:val="Footer Char"/>
    <w:basedOn w:val="850"/>
    <w:pPr>
      <w:pBdr/>
      <w:spacing/>
      <w:ind/>
    </w:pPr>
    <w:rPr>
      <w:rFonts w:ascii="Arial" w:hAnsi="Arial" w:eastAsia="Arial" w:cs="Arial"/>
      <w:sz w:val="24"/>
    </w:rPr>
  </w:style>
  <w:style w:type="paragraph" w:styleId="703">
    <w:name w:val="Caption"/>
    <w:basedOn w:val="848"/>
    <w:semiHidden/>
    <w:unhideWhenUsed/>
    <w:qFormat/>
    <w:pPr>
      <w:pBdr/>
      <w:spacing w:after="0" w:before="0" w:line="276" w:lineRule="auto"/>
      <w:ind/>
      <w:jc w:val="left"/>
    </w:pPr>
    <w:rPr>
      <w:rFonts w:ascii="Arial" w:hAnsi="Arial" w:eastAsia="Arial" w:cs="Arial"/>
      <w:b/>
      <w:color w:val="4f81bd"/>
      <w:sz w:val="18"/>
    </w:rPr>
  </w:style>
  <w:style w:type="character" w:styleId="704">
    <w:name w:val="Caption Char"/>
    <w:basedOn w:val="703"/>
    <w:pPr>
      <w:pBdr/>
      <w:spacing/>
      <w:ind/>
    </w:pPr>
    <w:rPr>
      <w:rFonts w:ascii="Arial" w:hAnsi="Arial" w:eastAsia="Arial" w:cs="Arial"/>
      <w:sz w:val="24"/>
    </w:rPr>
  </w:style>
  <w:style w:type="table" w:styleId="705">
    <w:name w:val="Table Grid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Table Grid Light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bfbfbf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d9e2f3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fbe6d7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ededed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fff2cb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deebf6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shd w:val="clear" w:color="ffffff" w:fill="e2efd9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7f7f7f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4472c4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f4b285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c9c9c9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ffd965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9cc3e6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32" w:space="0"/>
        <w:left w:val="none" w:color="000000" w:sz="32" w:space="0"/>
        <w:bottom w:val="none" w:color="000000" w:sz="32" w:space="0"/>
        <w:right w:val="none" w:color="000000" w:sz="32" w:space="0"/>
        <w:insideH w:val="none" w:color="000000" w:sz="0" w:space="0"/>
        <w:insideV w:val="none" w:color="000000" w:sz="0" w:space="0"/>
      </w:tblBorders>
      <w:shd w:val="clear" w:color="ffffff" w:fill="a9d18f"/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0" w:space="0"/>
        <w:bottom w:val="none" w:color="00000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4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color w:val="404040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1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2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3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4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5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6"/>
    <w:basedOn w:val="851"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  <w:tblPr>
      <w:tblW w:w="0" w:type="auto"/>
      <w:tblInd w:w="0" w:type="dxa"/>
      <w:tblBorders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insideH w:val="none" w:color="000000" w:sz="4" w:space="0"/>
        <w:insideV w:val="none" w:color="000000" w:sz="4" w:space="0"/>
      </w:tblBorders>
      <w:tblLayout w:type="autofit"/>
      <w:tblCellMar>
        <w:left w:w="0" w:type="dxa"/>
        <w:right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1">
    <w:name w:val="footnote text"/>
    <w:basedOn w:val="848"/>
    <w:semiHidden/>
    <w:unhideWhenUsed/>
    <w:pPr>
      <w:pBdr/>
      <w:spacing w:after="40" w:before="0" w:line="240" w:lineRule="auto"/>
      <w:ind/>
      <w:jc w:val="left"/>
    </w:pPr>
    <w:rPr>
      <w:rFonts w:ascii="Arial" w:hAnsi="Arial" w:eastAsia="Arial" w:cs="Arial"/>
      <w:sz w:val="18"/>
    </w:rPr>
  </w:style>
  <w:style w:type="character" w:styleId="832">
    <w:name w:val="Footnote Text Char"/>
    <w:pPr>
      <w:pBdr/>
      <w:spacing/>
      <w:ind/>
    </w:pPr>
    <w:rPr>
      <w:rFonts w:ascii="Arial" w:hAnsi="Arial" w:eastAsia="Arial" w:cs="Arial"/>
      <w:sz w:val="18"/>
    </w:rPr>
  </w:style>
  <w:style w:type="character" w:styleId="833">
    <w:name w:val="footnote reference"/>
    <w:basedOn w:val="850"/>
    <w:unhideWhenUsed/>
    <w:pPr>
      <w:pBdr/>
      <w:spacing/>
      <w:ind/>
    </w:pPr>
    <w:rPr>
      <w:rFonts w:ascii="Arial" w:hAnsi="Arial" w:eastAsia="Arial" w:cs="Arial"/>
      <w:sz w:val="24"/>
      <w:vertAlign w:val="superscript"/>
    </w:rPr>
  </w:style>
  <w:style w:type="paragraph" w:styleId="834">
    <w:name w:val="endnote text"/>
    <w:basedOn w:val="848"/>
    <w:semiHidden/>
    <w:unhideWhenUsed/>
    <w:pPr>
      <w:pBdr/>
      <w:spacing w:after="0" w:before="0" w:line="240" w:lineRule="auto"/>
      <w:ind/>
      <w:jc w:val="left"/>
    </w:pPr>
    <w:rPr>
      <w:rFonts w:ascii="Arial" w:hAnsi="Arial" w:eastAsia="Arial" w:cs="Arial"/>
      <w:sz w:val="20"/>
    </w:rPr>
  </w:style>
  <w:style w:type="character" w:styleId="835">
    <w:name w:val="Endnote Text Char"/>
    <w:pPr>
      <w:pBdr/>
      <w:spacing/>
      <w:ind/>
    </w:pPr>
    <w:rPr>
      <w:rFonts w:ascii="Arial" w:hAnsi="Arial" w:eastAsia="Arial" w:cs="Arial"/>
      <w:sz w:val="20"/>
    </w:rPr>
  </w:style>
  <w:style w:type="character" w:styleId="836">
    <w:name w:val="endnote reference"/>
    <w:basedOn w:val="850"/>
    <w:semiHidden/>
    <w:unhideWhenUsed/>
    <w:pPr>
      <w:pBdr/>
      <w:spacing/>
      <w:ind/>
    </w:pPr>
    <w:rPr>
      <w:rFonts w:ascii="Arial" w:hAnsi="Arial" w:eastAsia="Arial" w:cs="Arial"/>
      <w:sz w:val="24"/>
      <w:vertAlign w:val="superscript"/>
    </w:rPr>
  </w:style>
  <w:style w:type="paragraph" w:styleId="837">
    <w:name w:val="toc 1"/>
    <w:basedOn w:val="848"/>
    <w:unhideWhenUsed/>
    <w:pPr>
      <w:pBdr/>
      <w:spacing w:after="57" w:before="0" w:line="240" w:lineRule="auto"/>
      <w:ind w:firstLine="0" w:left="0"/>
      <w:jc w:val="left"/>
    </w:pPr>
    <w:rPr>
      <w:rFonts w:ascii="Arial" w:hAnsi="Arial" w:eastAsia="Arial" w:cs="Arial"/>
      <w:sz w:val="24"/>
    </w:rPr>
  </w:style>
  <w:style w:type="paragraph" w:styleId="838">
    <w:name w:val="toc 2"/>
    <w:basedOn w:val="848"/>
    <w:unhideWhenUsed/>
    <w:pPr>
      <w:pBdr/>
      <w:spacing w:after="57" w:before="0" w:line="240" w:lineRule="auto"/>
      <w:ind w:firstLine="0" w:left="283"/>
      <w:jc w:val="left"/>
    </w:pPr>
    <w:rPr>
      <w:rFonts w:ascii="Arial" w:hAnsi="Arial" w:eastAsia="Arial" w:cs="Arial"/>
      <w:sz w:val="24"/>
    </w:rPr>
  </w:style>
  <w:style w:type="paragraph" w:styleId="839">
    <w:name w:val="toc 3"/>
    <w:basedOn w:val="848"/>
    <w:unhideWhenUsed/>
    <w:pPr>
      <w:pBdr/>
      <w:spacing w:after="57" w:before="0" w:line="240" w:lineRule="auto"/>
      <w:ind w:firstLine="0" w:left="567"/>
      <w:jc w:val="left"/>
    </w:pPr>
    <w:rPr>
      <w:rFonts w:ascii="Arial" w:hAnsi="Arial" w:eastAsia="Arial" w:cs="Arial"/>
      <w:sz w:val="24"/>
    </w:rPr>
  </w:style>
  <w:style w:type="paragraph" w:styleId="840">
    <w:name w:val="toc 4"/>
    <w:basedOn w:val="848"/>
    <w:unhideWhenUsed/>
    <w:pPr>
      <w:pBdr/>
      <w:spacing w:after="57" w:before="0" w:line="240" w:lineRule="auto"/>
      <w:ind w:firstLine="0" w:left="850"/>
      <w:jc w:val="left"/>
    </w:pPr>
    <w:rPr>
      <w:rFonts w:ascii="Arial" w:hAnsi="Arial" w:eastAsia="Arial" w:cs="Arial"/>
      <w:sz w:val="24"/>
    </w:rPr>
  </w:style>
  <w:style w:type="paragraph" w:styleId="841">
    <w:name w:val="toc 5"/>
    <w:basedOn w:val="848"/>
    <w:unhideWhenUsed/>
    <w:pPr>
      <w:pBdr/>
      <w:spacing w:after="57" w:before="0" w:line="240" w:lineRule="auto"/>
      <w:ind w:firstLine="0" w:left="1134"/>
      <w:jc w:val="left"/>
    </w:pPr>
    <w:rPr>
      <w:rFonts w:ascii="Arial" w:hAnsi="Arial" w:eastAsia="Arial" w:cs="Arial"/>
      <w:sz w:val="24"/>
    </w:rPr>
  </w:style>
  <w:style w:type="paragraph" w:styleId="842">
    <w:name w:val="toc 6"/>
    <w:basedOn w:val="848"/>
    <w:unhideWhenUsed/>
    <w:pPr>
      <w:pBdr/>
      <w:spacing w:after="57" w:before="0" w:line="240" w:lineRule="auto"/>
      <w:ind w:firstLine="0" w:left="1417"/>
      <w:jc w:val="left"/>
    </w:pPr>
    <w:rPr>
      <w:rFonts w:ascii="Arial" w:hAnsi="Arial" w:eastAsia="Arial" w:cs="Arial"/>
      <w:sz w:val="24"/>
    </w:rPr>
  </w:style>
  <w:style w:type="paragraph" w:styleId="843">
    <w:name w:val="toc 7"/>
    <w:basedOn w:val="848"/>
    <w:unhideWhenUsed/>
    <w:pPr>
      <w:pBdr/>
      <w:spacing w:after="57" w:before="0" w:line="240" w:lineRule="auto"/>
      <w:ind w:firstLine="0" w:left="1701"/>
      <w:jc w:val="left"/>
    </w:pPr>
    <w:rPr>
      <w:rFonts w:ascii="Arial" w:hAnsi="Arial" w:eastAsia="Arial" w:cs="Arial"/>
      <w:sz w:val="24"/>
    </w:rPr>
  </w:style>
  <w:style w:type="paragraph" w:styleId="844">
    <w:name w:val="toc 8"/>
    <w:basedOn w:val="848"/>
    <w:unhideWhenUsed/>
    <w:pPr>
      <w:pBdr/>
      <w:spacing w:after="57" w:before="0" w:line="240" w:lineRule="auto"/>
      <w:ind w:firstLine="0" w:left="1984"/>
      <w:jc w:val="left"/>
    </w:pPr>
    <w:rPr>
      <w:rFonts w:ascii="Arial" w:hAnsi="Arial" w:eastAsia="Arial" w:cs="Arial"/>
      <w:sz w:val="24"/>
    </w:rPr>
  </w:style>
  <w:style w:type="paragraph" w:styleId="845">
    <w:name w:val="toc 9"/>
    <w:basedOn w:val="848"/>
    <w:unhideWhenUsed/>
    <w:pPr>
      <w:pBdr/>
      <w:spacing w:after="57" w:before="0" w:line="240" w:lineRule="auto"/>
      <w:ind w:firstLine="0" w:left="2268"/>
      <w:jc w:val="left"/>
    </w:pPr>
    <w:rPr>
      <w:rFonts w:ascii="Arial" w:hAnsi="Arial" w:eastAsia="Arial" w:cs="Arial"/>
      <w:sz w:val="24"/>
    </w:rPr>
  </w:style>
  <w:style w:type="paragraph" w:styleId="846">
    <w:name w:val="TOC Heading"/>
    <w:unhideWhenUsed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</w:style>
  <w:style w:type="paragraph" w:styleId="847">
    <w:name w:val="table of figures"/>
    <w:basedOn w:val="848"/>
    <w:unhideWhenUsed/>
    <w:pPr>
      <w:pBdr/>
      <w:spacing w:after="0" w:before="0" w:line="240" w:lineRule="auto"/>
      <w:ind/>
      <w:jc w:val="left"/>
    </w:pPr>
    <w:rPr>
      <w:rFonts w:ascii="Arial" w:hAnsi="Arial" w:eastAsia="Arial" w:cs="Arial"/>
      <w:sz w:val="24"/>
    </w:rPr>
  </w:style>
  <w:style w:type="paragraph" w:styleId="848" w:default="1">
    <w:name w:val="Normal"/>
    <w:qFormat/>
    <w:pPr>
      <w:pBdr/>
      <w:spacing w:after="160" w:before="0" w:line="259" w:lineRule="auto"/>
      <w:ind w:left="0"/>
      <w:jc w:val="left"/>
    </w:pPr>
    <w:rPr>
      <w:rFonts w:ascii="Calibri" w:hAnsi="Calibri" w:eastAsia="Calibri" w:cs="Calibri"/>
      <w:sz w:val="22"/>
    </w:rPr>
  </w:style>
  <w:style w:type="paragraph" w:styleId="849">
    <w:name w:val="Heading 1"/>
    <w:basedOn w:val="848"/>
    <w:qFormat/>
    <w:pPr>
      <w:pBdr/>
      <w:spacing w:after="100" w:afterAutospacing="1" w:before="100" w:beforeAutospacing="1" w:line="240" w:lineRule="auto"/>
      <w:ind w:left="0"/>
      <w:jc w:val="left"/>
      <w:outlineLvl w:val="0"/>
    </w:pPr>
    <w:rPr>
      <w:rFonts w:ascii="TimesNewRoman" w:hAnsi="TimesNewRoman" w:eastAsia="TimesNewRoman" w:cs="TimesNewRoman"/>
      <w:b/>
      <w:sz w:val="48"/>
    </w:rPr>
  </w:style>
  <w:style w:type="character" w:styleId="850" w:default="1">
    <w:name w:val="Default Paragraph Font"/>
    <w:semiHidden/>
    <w:unhideWhenUsed/>
    <w:pPr>
      <w:pBdr/>
      <w:spacing/>
      <w:ind/>
    </w:pPr>
    <w:rPr>
      <w:rFonts w:ascii="TimesNewRoman" w:hAnsi="TimesNewRoman" w:eastAsia="TimesNewRoman" w:cs="TimesNewRoman"/>
      <w:sz w:val="24"/>
    </w:rPr>
  </w:style>
  <w:style w:type="table" w:styleId="851" w:default="1">
    <w:name w:val="Normal Table"/>
    <w:semiHidden/>
    <w:unhideWhenUsed/>
    <w:pPr>
      <w:pBdr/>
      <w:spacing w:after="160" w:before="0" w:line="259" w:lineRule="auto"/>
      <w:ind w:left="0"/>
      <w:jc w:val="left"/>
    </w:pPr>
    <w:rPr>
      <w:rFonts w:ascii="Calibri" w:hAnsi="Calibri" w:eastAsia="Calibri" w:cs="Calibri"/>
      <w:sz w:val="22"/>
    </w:rPr>
    <w:tblPr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insideH w:val="none" w:color="000000" w:sz="0" w:space="0"/>
        <w:insideV w:val="none" w:color="000000" w:sz="0" w:space="0"/>
      </w:tblBorders>
      <w:shd w:val="clear" w:color="000000" w:fill="000000"/>
      <w:tblLayout w:type="autofit"/>
      <w:tblCellMar>
        <w:left w:w="108" w:type="dxa"/>
        <w:right w:w="108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2">
    <w:name w:val="Normal (Web)"/>
    <w:basedOn w:val="848"/>
    <w:semiHidden/>
    <w:unhideWhenUsed/>
    <w:pPr>
      <w:pBdr/>
      <w:spacing w:after="100" w:afterAutospacing="1" w:before="100" w:beforeAutospacing="1" w:line="240" w:lineRule="auto"/>
      <w:ind w:left="0"/>
      <w:jc w:val="left"/>
    </w:pPr>
    <w:rPr>
      <w:rFonts w:ascii="TimesNewRoman" w:hAnsi="TimesNewRoman" w:eastAsia="TimesNewRoman" w:cs="TimesNewRoman"/>
      <w:sz w:val="24"/>
    </w:rPr>
  </w:style>
  <w:style w:type="character" w:styleId="853">
    <w:name w:val="Strong"/>
    <w:basedOn w:val="850"/>
    <w:qFormat/>
    <w:pPr>
      <w:pBdr/>
      <w:spacing/>
      <w:ind/>
    </w:pPr>
    <w:rPr>
      <w:rFonts w:ascii="TimesNewRoman" w:hAnsi="TimesNewRoman" w:eastAsia="TimesNewRoman" w:cs="TimesNewRoman"/>
      <w:b/>
      <w:sz w:val="24"/>
    </w:rPr>
  </w:style>
  <w:style w:type="character" w:styleId="854">
    <w:name w:val="Emphasis"/>
    <w:basedOn w:val="850"/>
    <w:qFormat/>
    <w:pPr>
      <w:pBdr/>
      <w:spacing/>
      <w:ind/>
    </w:pPr>
    <w:rPr>
      <w:rFonts w:ascii="TimesNewRoman" w:hAnsi="TimesNewRoman" w:eastAsia="TimesNewRoman" w:cs="TimesNewRoman"/>
      <w:i/>
      <w:sz w:val="24"/>
    </w:rPr>
  </w:style>
  <w:style w:type="character" w:styleId="855">
    <w:name w:val="Заголовок 1 Знак"/>
    <w:basedOn w:val="850"/>
    <w:pPr>
      <w:pBdr/>
      <w:spacing/>
      <w:ind/>
    </w:pPr>
    <w:rPr>
      <w:rFonts w:ascii="TimesNewRoman" w:hAnsi="TimesNewRoman" w:eastAsia="TimesNewRoman" w:cs="TimesNewRoman"/>
      <w:b/>
      <w:sz w:val="48"/>
    </w:rPr>
  </w:style>
  <w:style w:type="character" w:styleId="856">
    <w:name w:val="Hyperlink"/>
    <w:semiHidden/>
    <w:unhideWhenUsed/>
    <w:pPr>
      <w:pBdr/>
      <w:spacing/>
      <w:ind/>
    </w:pPr>
    <w:rPr>
      <w:rFonts w:ascii="TimesNewRoman" w:hAnsi="TimesNewRoman" w:eastAsia="TimesNewRoman" w:cs="TimesNewRoman"/>
      <w:color w:val="0000ff"/>
      <w:sz w:val="24"/>
      <w:u w:val="single"/>
    </w:rPr>
  </w:style>
  <w:style w:type="numbering" w:styleId="857" w:default="1">
    <w:name w:val="No List"/>
    <w:uiPriority w:val="99"/>
    <w:semiHidden/>
    <w:unhideWhenUsed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www.pravo.gov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3</cp:revision>
  <dcterms:modified xsi:type="dcterms:W3CDTF">2026-10-08T14:12:58Z</dcterms:modified>
</cp:coreProperties>
</file>