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E471A" w14:textId="298B40EB" w:rsidR="00075315" w:rsidRPr="00694ECA" w:rsidRDefault="00075315" w:rsidP="00075315">
      <w:pPr>
        <w:ind w:right="707"/>
        <w:jc w:val="both"/>
      </w:pPr>
      <w:r>
        <w:t xml:space="preserve">УДК </w:t>
      </w:r>
      <w:r w:rsidR="005C477F" w:rsidRPr="005C477F">
        <w:t>37.015.3</w:t>
      </w:r>
    </w:p>
    <w:p w14:paraId="69BA85C9" w14:textId="6D3A3B03" w:rsidR="00075315" w:rsidRPr="00E9498B" w:rsidRDefault="00694ECA" w:rsidP="00694ECA">
      <w:pPr>
        <w:ind w:right="707"/>
        <w:jc w:val="right"/>
        <w:rPr>
          <w:b/>
          <w:bCs/>
          <w:i/>
          <w:iCs/>
        </w:rPr>
      </w:pPr>
      <w:proofErr w:type="spellStart"/>
      <w:r w:rsidRPr="00E9498B">
        <w:rPr>
          <w:b/>
          <w:bCs/>
          <w:i/>
          <w:iCs/>
        </w:rPr>
        <w:t>Тужик</w:t>
      </w:r>
      <w:proofErr w:type="spellEnd"/>
      <w:r w:rsidRPr="00E9498B">
        <w:rPr>
          <w:b/>
          <w:bCs/>
          <w:i/>
          <w:iCs/>
        </w:rPr>
        <w:t xml:space="preserve"> Ю.Н.</w:t>
      </w:r>
    </w:p>
    <w:p w14:paraId="2711229B" w14:textId="760B2BDD" w:rsidR="00694ECA" w:rsidRPr="00E9498B" w:rsidRDefault="00E9498B" w:rsidP="00E9498B">
      <w:pPr>
        <w:ind w:right="707"/>
        <w:jc w:val="right"/>
        <w:rPr>
          <w:b/>
          <w:bCs/>
          <w:i/>
          <w:iCs/>
        </w:rPr>
      </w:pPr>
      <w:r w:rsidRPr="00E9498B">
        <w:rPr>
          <w:b/>
          <w:bCs/>
          <w:i/>
          <w:iCs/>
        </w:rPr>
        <w:t xml:space="preserve">2 курс, магистратура </w:t>
      </w:r>
      <w:r w:rsidR="00694ECA" w:rsidRPr="00E9498B">
        <w:rPr>
          <w:b/>
          <w:bCs/>
          <w:i/>
          <w:iCs/>
        </w:rPr>
        <w:t>ФГБОУ Новосибирский государственный</w:t>
      </w:r>
      <w:r>
        <w:rPr>
          <w:b/>
          <w:bCs/>
          <w:i/>
          <w:iCs/>
        </w:rPr>
        <w:t xml:space="preserve"> </w:t>
      </w:r>
      <w:r w:rsidR="00694ECA" w:rsidRPr="00E9498B">
        <w:rPr>
          <w:b/>
          <w:bCs/>
          <w:i/>
          <w:iCs/>
        </w:rPr>
        <w:t>педагогический университет,</w:t>
      </w:r>
    </w:p>
    <w:p w14:paraId="2F92B044" w14:textId="6B7FF61A" w:rsidR="00694ECA" w:rsidRPr="00E9498B" w:rsidRDefault="00694ECA" w:rsidP="00694ECA">
      <w:pPr>
        <w:ind w:right="707"/>
        <w:jc w:val="right"/>
        <w:rPr>
          <w:b/>
          <w:bCs/>
          <w:i/>
          <w:iCs/>
        </w:rPr>
      </w:pPr>
      <w:r w:rsidRPr="00E9498B">
        <w:rPr>
          <w:b/>
          <w:bCs/>
          <w:i/>
          <w:iCs/>
        </w:rPr>
        <w:t>Институт детства,</w:t>
      </w:r>
    </w:p>
    <w:p w14:paraId="37301928" w14:textId="1629753E" w:rsidR="00075315" w:rsidRPr="00E9498B" w:rsidRDefault="00694ECA" w:rsidP="00694ECA">
      <w:pPr>
        <w:ind w:right="707"/>
        <w:jc w:val="right"/>
        <w:rPr>
          <w:b/>
          <w:bCs/>
          <w:i/>
          <w:iCs/>
        </w:rPr>
      </w:pPr>
      <w:r w:rsidRPr="00E9498B">
        <w:rPr>
          <w:b/>
          <w:bCs/>
          <w:i/>
          <w:iCs/>
        </w:rPr>
        <w:t>4.155.1.</w:t>
      </w:r>
      <w:r w:rsidR="00E9498B" w:rsidRPr="00E9498B">
        <w:rPr>
          <w:b/>
          <w:bCs/>
          <w:i/>
          <w:iCs/>
        </w:rPr>
        <w:t>25. Управление</w:t>
      </w:r>
      <w:r w:rsidRPr="00E9498B">
        <w:rPr>
          <w:b/>
          <w:bCs/>
          <w:i/>
          <w:iCs/>
        </w:rPr>
        <w:t xml:space="preserve"> качеством образования в начальной школе</w:t>
      </w:r>
    </w:p>
    <w:p w14:paraId="54BD8502" w14:textId="04F4F0DE" w:rsidR="00075315" w:rsidRDefault="005C477F" w:rsidP="00075315">
      <w:pPr>
        <w:jc w:val="center"/>
        <w:rPr>
          <w:b/>
          <w:bCs/>
          <w:iCs/>
          <w:color w:val="000000"/>
          <w:sz w:val="28"/>
          <w:szCs w:val="28"/>
        </w:rPr>
      </w:pPr>
      <w:r w:rsidRPr="005C477F">
        <w:rPr>
          <w:b/>
          <w:bCs/>
          <w:iCs/>
          <w:color w:val="000000"/>
          <w:sz w:val="28"/>
          <w:szCs w:val="28"/>
        </w:rPr>
        <w:t>ФОРМИРОВАНИЕ УЧЕБНОЙ МОТИВАЦИИ У ДЕТЕЙ МЛАДШЕГО ШКОЛЬНОГО ВОЗРАСТА</w:t>
      </w:r>
    </w:p>
    <w:p w14:paraId="05A47878" w14:textId="77777777" w:rsidR="00075315" w:rsidRDefault="00075315" w:rsidP="00075315">
      <w:pPr>
        <w:jc w:val="center"/>
        <w:rPr>
          <w:iCs/>
          <w:color w:val="000000"/>
          <w:sz w:val="28"/>
          <w:szCs w:val="28"/>
        </w:rPr>
      </w:pPr>
    </w:p>
    <w:p w14:paraId="11AE45CD" w14:textId="54FBA277" w:rsidR="00075315" w:rsidRPr="003A1771" w:rsidRDefault="00075315" w:rsidP="00075315">
      <w:pPr>
        <w:ind w:firstLine="708"/>
        <w:jc w:val="both"/>
        <w:rPr>
          <w:iCs/>
          <w:color w:val="000000"/>
        </w:rPr>
      </w:pPr>
      <w:r>
        <w:rPr>
          <w:i/>
          <w:iCs/>
          <w:color w:val="000000"/>
        </w:rPr>
        <w:t xml:space="preserve">Аннотация. </w:t>
      </w:r>
      <w:r w:rsidR="005C477F" w:rsidRPr="005C477F">
        <w:rPr>
          <w:iCs/>
          <w:color w:val="000000"/>
        </w:rPr>
        <w:t>В статье рассматривается проблема формирования учебной мотивации у детей младшего школьного возраста как условие успешного освоения учебной деятельности. На основе анализа психолого-педагогических исследований охарактеризованы факторы, влияющие на развитие мотивационной сферы младшего школьника, и описаны педагогические подходы к её формированию</w:t>
      </w:r>
      <w:r w:rsidRPr="003A1771">
        <w:rPr>
          <w:iCs/>
          <w:color w:val="000000"/>
        </w:rPr>
        <w:t>.</w:t>
      </w:r>
    </w:p>
    <w:p w14:paraId="65B87168" w14:textId="77777777" w:rsidR="00075315" w:rsidRDefault="00075315" w:rsidP="00075315">
      <w:pPr>
        <w:jc w:val="both"/>
        <w:rPr>
          <w:i/>
          <w:iCs/>
          <w:color w:val="000000"/>
        </w:rPr>
      </w:pPr>
    </w:p>
    <w:p w14:paraId="6FE39BDD" w14:textId="30626932" w:rsidR="00075315" w:rsidRDefault="00075315" w:rsidP="005C477F">
      <w:pPr>
        <w:jc w:val="both"/>
        <w:rPr>
          <w:i/>
          <w:iCs/>
          <w:color w:val="000000"/>
        </w:rPr>
      </w:pPr>
      <w:r>
        <w:rPr>
          <w:i/>
          <w:iCs/>
          <w:color w:val="000000"/>
        </w:rPr>
        <w:t xml:space="preserve">Ключевые слова: </w:t>
      </w:r>
      <w:r w:rsidR="005C477F" w:rsidRPr="005C477F">
        <w:rPr>
          <w:i/>
          <w:iCs/>
          <w:color w:val="000000"/>
        </w:rPr>
        <w:t>учебная мотивация, младший школьник, учебная деятельность, познавательный интерес, педагогические условия, игровые технологии</w:t>
      </w:r>
      <w:r>
        <w:rPr>
          <w:i/>
          <w:iCs/>
          <w:color w:val="000000"/>
        </w:rPr>
        <w:t>.</w:t>
      </w:r>
    </w:p>
    <w:p w14:paraId="1795BF51" w14:textId="77777777" w:rsidR="005C477F" w:rsidRDefault="005C477F" w:rsidP="00075315">
      <w:pPr>
        <w:spacing w:line="360" w:lineRule="auto"/>
        <w:ind w:left="360" w:right="707"/>
        <w:jc w:val="both"/>
      </w:pPr>
    </w:p>
    <w:p w14:paraId="59893DBF" w14:textId="76240256" w:rsidR="005C477F" w:rsidRPr="005C477F" w:rsidRDefault="005C477F" w:rsidP="005C477F">
      <w:pPr>
        <w:jc w:val="center"/>
        <w:rPr>
          <w:b/>
          <w:bCs/>
          <w:iCs/>
          <w:color w:val="000000"/>
          <w:sz w:val="28"/>
          <w:szCs w:val="28"/>
          <w:lang w:val="en-US"/>
        </w:rPr>
      </w:pPr>
      <w:r w:rsidRPr="005C477F">
        <w:rPr>
          <w:b/>
          <w:bCs/>
          <w:iCs/>
          <w:color w:val="000000"/>
          <w:sz w:val="28"/>
          <w:szCs w:val="28"/>
          <w:lang w:val="en-US"/>
        </w:rPr>
        <w:t>FORMATION OF EDUCATIONAL MOTIVATION IN PRIMARY SCHOOL-AGE CHILDREN</w:t>
      </w:r>
    </w:p>
    <w:p w14:paraId="0112A886" w14:textId="77777777" w:rsidR="005C477F" w:rsidRPr="005C477F" w:rsidRDefault="005C477F" w:rsidP="005C477F">
      <w:pPr>
        <w:jc w:val="center"/>
        <w:rPr>
          <w:iCs/>
          <w:color w:val="000000"/>
          <w:sz w:val="28"/>
          <w:szCs w:val="28"/>
          <w:lang w:val="en-US"/>
        </w:rPr>
      </w:pPr>
    </w:p>
    <w:p w14:paraId="43D7D1E1" w14:textId="633D9473" w:rsidR="005C477F" w:rsidRPr="005C477F" w:rsidRDefault="005C477F" w:rsidP="005C477F">
      <w:pPr>
        <w:ind w:firstLine="708"/>
        <w:jc w:val="both"/>
        <w:rPr>
          <w:iCs/>
          <w:color w:val="000000"/>
          <w:lang w:val="en-US"/>
        </w:rPr>
      </w:pPr>
      <w:r w:rsidRPr="005C477F">
        <w:rPr>
          <w:i/>
          <w:iCs/>
          <w:color w:val="000000"/>
          <w:lang w:val="en-US"/>
        </w:rPr>
        <w:t xml:space="preserve">Abstract. </w:t>
      </w:r>
      <w:r w:rsidRPr="005C477F">
        <w:rPr>
          <w:iCs/>
          <w:color w:val="000000"/>
          <w:lang w:val="en-US"/>
        </w:rPr>
        <w:t>The article examines the problem of forming educational motivation in primary school-age children as a condition for successfully mastering educational activities. Based on the analysis of psychological and pedagogical studies, the factors influencing the development of the motivational sphere of primary schoolchildren are characterized, and pedagogical approaches to its formation are described.</w:t>
      </w:r>
    </w:p>
    <w:p w14:paraId="499B7D3B" w14:textId="77777777" w:rsidR="005C477F" w:rsidRPr="005C477F" w:rsidRDefault="005C477F" w:rsidP="005C477F">
      <w:pPr>
        <w:jc w:val="both"/>
        <w:rPr>
          <w:i/>
          <w:iCs/>
          <w:color w:val="000000"/>
          <w:lang w:val="en-US"/>
        </w:rPr>
      </w:pPr>
    </w:p>
    <w:p w14:paraId="6D20133A" w14:textId="7BA73670" w:rsidR="005C477F" w:rsidRPr="005C477F" w:rsidRDefault="005C477F" w:rsidP="005C477F">
      <w:pPr>
        <w:jc w:val="both"/>
        <w:rPr>
          <w:i/>
          <w:iCs/>
          <w:color w:val="000000"/>
          <w:lang w:val="en-US"/>
        </w:rPr>
      </w:pPr>
      <w:r w:rsidRPr="005C477F">
        <w:rPr>
          <w:i/>
          <w:iCs/>
          <w:color w:val="000000"/>
          <w:lang w:val="en-US"/>
        </w:rPr>
        <w:t>Keywords: educational motivation, primary schoolchild, educational activity, cognitive interest, pedagogical conditions, game technologies.</w:t>
      </w:r>
    </w:p>
    <w:p w14:paraId="399181EE" w14:textId="77777777" w:rsidR="005C477F" w:rsidRPr="005C477F" w:rsidRDefault="005C477F" w:rsidP="00075315">
      <w:pPr>
        <w:spacing w:line="360" w:lineRule="auto"/>
        <w:ind w:left="360" w:right="707"/>
        <w:jc w:val="both"/>
        <w:rPr>
          <w:lang w:val="en-US"/>
        </w:rPr>
      </w:pPr>
    </w:p>
    <w:p w14:paraId="38846E61" w14:textId="77777777" w:rsidR="00A7410E" w:rsidRPr="00A7410E" w:rsidRDefault="00A7410E" w:rsidP="00A7410E">
      <w:pPr>
        <w:spacing w:line="360" w:lineRule="auto"/>
        <w:ind w:right="-2" w:firstLine="567"/>
        <w:jc w:val="both"/>
        <w:rPr>
          <w:sz w:val="28"/>
          <w:szCs w:val="28"/>
        </w:rPr>
      </w:pPr>
      <w:r w:rsidRPr="00A7410E">
        <w:rPr>
          <w:sz w:val="28"/>
          <w:szCs w:val="28"/>
        </w:rPr>
        <w:t>Переход ребёнка от дошкольного детства к систематическому школьному обучению сопряжён с глубокой перестройкой всей системы его отношений с окружающим миром. Учебная деятельность становится ведущей, однако её принятие ребёнком не происходит само по себе. Именно от состояния мотивационной сферы во многом зависит то, насколько успешно первоклассник справится с новыми требованиями и удержится в позиции ученика на протяжении всей начальной школы.</w:t>
      </w:r>
    </w:p>
    <w:p w14:paraId="4B8B53D5" w14:textId="2C44F11E" w:rsidR="00A7410E" w:rsidRPr="00A7410E" w:rsidRDefault="00A7410E" w:rsidP="00A7410E">
      <w:pPr>
        <w:spacing w:line="360" w:lineRule="auto"/>
        <w:ind w:right="-2" w:firstLine="567"/>
        <w:jc w:val="both"/>
        <w:rPr>
          <w:sz w:val="28"/>
          <w:szCs w:val="28"/>
        </w:rPr>
      </w:pPr>
      <w:r w:rsidRPr="00A7410E">
        <w:rPr>
          <w:sz w:val="28"/>
          <w:szCs w:val="28"/>
        </w:rPr>
        <w:t xml:space="preserve">По данным ряда современных исследований, снижение учебной мотивации у детей младшего школьного возраста нередко выступает ранним сигналом более широких психологических затруднений, включая трудности адаптации и эмоциональную нестабильность [1]. Это означает, </w:t>
      </w:r>
      <w:r w:rsidRPr="00A7410E">
        <w:rPr>
          <w:sz w:val="28"/>
          <w:szCs w:val="28"/>
        </w:rPr>
        <w:lastRenderedPageBreak/>
        <w:t xml:space="preserve">что мотивация к учению </w:t>
      </w:r>
      <w:r>
        <w:rPr>
          <w:sz w:val="28"/>
          <w:szCs w:val="28"/>
        </w:rPr>
        <w:t>–</w:t>
      </w:r>
      <w:r w:rsidRPr="00A7410E">
        <w:rPr>
          <w:sz w:val="28"/>
          <w:szCs w:val="28"/>
        </w:rPr>
        <w:t xml:space="preserve"> не просто педагогическая задача, а индикатор общего психологического состояния ребёнка в период освоения школьной жизни.</w:t>
      </w:r>
    </w:p>
    <w:p w14:paraId="3B1BEEFE" w14:textId="51A71768" w:rsidR="00A7410E" w:rsidRPr="00A7410E" w:rsidRDefault="00A7410E" w:rsidP="00A7410E">
      <w:pPr>
        <w:spacing w:line="360" w:lineRule="auto"/>
        <w:ind w:right="-2" w:firstLine="567"/>
        <w:jc w:val="both"/>
        <w:rPr>
          <w:sz w:val="28"/>
          <w:szCs w:val="28"/>
        </w:rPr>
      </w:pPr>
      <w:r w:rsidRPr="00A7410E">
        <w:rPr>
          <w:sz w:val="28"/>
          <w:szCs w:val="28"/>
        </w:rPr>
        <w:t xml:space="preserve">В структуре учебной мотивации принято различать две основные группы побуждений. Первая </w:t>
      </w:r>
      <w:r>
        <w:rPr>
          <w:sz w:val="28"/>
          <w:szCs w:val="28"/>
        </w:rPr>
        <w:t>–</w:t>
      </w:r>
      <w:r w:rsidRPr="00A7410E">
        <w:rPr>
          <w:sz w:val="28"/>
          <w:szCs w:val="28"/>
        </w:rPr>
        <w:t xml:space="preserve"> познавательные мотивы, связанные с интересом к содержанию учебного материала и процессу его освоения. Вторая </w:t>
      </w:r>
      <w:r>
        <w:rPr>
          <w:sz w:val="28"/>
          <w:szCs w:val="28"/>
        </w:rPr>
        <w:t>–</w:t>
      </w:r>
      <w:r w:rsidRPr="00A7410E">
        <w:rPr>
          <w:sz w:val="28"/>
          <w:szCs w:val="28"/>
        </w:rPr>
        <w:t xml:space="preserve"> социальные мотивы, отражающие стремление ребёнка занять определённое место в системе отношений: получить одобрение учителя, быть принятым сверстниками, соответствовать ожиданиям родителей [2]. У детей семи-десяти лет обе группы мотивов присутствуют одновременно, однако их соотношение у каждого ребёнка складывается индивидуально, под влиянием условий воспитания и характера предшествующего опыта.</w:t>
      </w:r>
    </w:p>
    <w:p w14:paraId="39AC4D3B" w14:textId="502D0FC4" w:rsidR="00A7410E" w:rsidRPr="00A7410E" w:rsidRDefault="00A7410E" w:rsidP="00A7410E">
      <w:pPr>
        <w:spacing w:line="360" w:lineRule="auto"/>
        <w:ind w:right="-2" w:firstLine="567"/>
        <w:jc w:val="both"/>
        <w:rPr>
          <w:sz w:val="28"/>
          <w:szCs w:val="28"/>
        </w:rPr>
      </w:pPr>
      <w:r w:rsidRPr="00A7410E">
        <w:rPr>
          <w:sz w:val="28"/>
          <w:szCs w:val="28"/>
        </w:rPr>
        <w:t xml:space="preserve">Среди психологических факторов, определяющих устойчивость учебной мотивации, особое место занимают самооценка и уровень тревожности. Там, где у ребёнка сложилось устойчивое представление о себе как о способном к обучению, вероятность сохранения мотивации при столкновении с трудностями значимо выше. Ребёнок с низкой самооценкой, напротив, нередко заранее отказывается от сложного задания, не предпринимая попытки его выполнить, </w:t>
      </w:r>
      <w:r>
        <w:rPr>
          <w:sz w:val="28"/>
          <w:szCs w:val="28"/>
        </w:rPr>
        <w:t>–</w:t>
      </w:r>
      <w:r w:rsidRPr="00A7410E">
        <w:rPr>
          <w:sz w:val="28"/>
          <w:szCs w:val="28"/>
        </w:rPr>
        <w:t xml:space="preserve"> срабатывает механизм избегания неудачи [3]. Помимо этого, на мотивацию влияют особенности семейного воспитания: завышенные ожидания родителей или, напротив, полное безразличие к школьным успехам ребёнка одинаково деструктивны для формирования устойчивого интереса к учению [3].</w:t>
      </w:r>
    </w:p>
    <w:p w14:paraId="221BAACD" w14:textId="2035CA95" w:rsidR="00A7410E" w:rsidRPr="00A7410E" w:rsidRDefault="00A7410E" w:rsidP="00A7410E">
      <w:pPr>
        <w:spacing w:line="360" w:lineRule="auto"/>
        <w:ind w:right="-2" w:firstLine="567"/>
        <w:jc w:val="both"/>
        <w:rPr>
          <w:sz w:val="28"/>
          <w:szCs w:val="28"/>
        </w:rPr>
      </w:pPr>
      <w:r w:rsidRPr="00A7410E">
        <w:rPr>
          <w:sz w:val="28"/>
          <w:szCs w:val="28"/>
        </w:rPr>
        <w:t xml:space="preserve">Не менее значим характер самой учебной деятельности. Там, где содержание уроков монотонно и лишено для ребёнка личностного смысла, мотивация угасает быстро </w:t>
      </w:r>
      <w:r>
        <w:rPr>
          <w:sz w:val="28"/>
          <w:szCs w:val="28"/>
        </w:rPr>
        <w:t>–</w:t>
      </w:r>
      <w:r w:rsidRPr="00A7410E">
        <w:rPr>
          <w:sz w:val="28"/>
          <w:szCs w:val="28"/>
        </w:rPr>
        <w:t xml:space="preserve"> вне зависимости от усилий педагога. В этом отношении принципиальным оказывается положение, разработанное в рамках деятельностного подхода: мотив возникает тогда, когда деятельность приобретает для субъекта личностный смысл [5]. Пока </w:t>
      </w:r>
      <w:r w:rsidRPr="00A7410E">
        <w:rPr>
          <w:sz w:val="28"/>
          <w:szCs w:val="28"/>
        </w:rPr>
        <w:lastRenderedPageBreak/>
        <w:t xml:space="preserve">учебная задача воспринимается ребёнком как навязанная извне и не связанная с его собственными интересами, устойчивой учебной мотивации не формируется. Особенности мышления детей </w:t>
      </w:r>
      <w:proofErr w:type="gramStart"/>
      <w:r w:rsidRPr="00A7410E">
        <w:rPr>
          <w:sz w:val="28"/>
          <w:szCs w:val="28"/>
        </w:rPr>
        <w:t>семи-десяти</w:t>
      </w:r>
      <w:proofErr w:type="gramEnd"/>
      <w:r w:rsidRPr="00A7410E">
        <w:rPr>
          <w:sz w:val="28"/>
          <w:szCs w:val="28"/>
        </w:rPr>
        <w:t xml:space="preserve"> лет (конкретно-образный характер, высокая значимость эмоций, зависимость от оценки взрослого) обусловливают то, что длинные отсроченные перспективы </w:t>
      </w:r>
      <w:r>
        <w:rPr>
          <w:sz w:val="28"/>
          <w:szCs w:val="28"/>
        </w:rPr>
        <w:t>–</w:t>
      </w:r>
      <w:r w:rsidRPr="00A7410E">
        <w:rPr>
          <w:sz w:val="28"/>
          <w:szCs w:val="28"/>
        </w:rPr>
        <w:t xml:space="preserve"> объяснения в духе «это пригодится тебе потом» </w:t>
      </w:r>
      <w:r>
        <w:rPr>
          <w:sz w:val="28"/>
          <w:szCs w:val="28"/>
        </w:rPr>
        <w:t>–</w:t>
      </w:r>
      <w:r w:rsidRPr="00A7410E">
        <w:rPr>
          <w:sz w:val="28"/>
          <w:szCs w:val="28"/>
        </w:rPr>
        <w:t xml:space="preserve"> практически не работают как мотивирующий приём [4].</w:t>
      </w:r>
    </w:p>
    <w:p w14:paraId="1A743033" w14:textId="77777777" w:rsidR="00A7410E" w:rsidRPr="00A7410E" w:rsidRDefault="00A7410E" w:rsidP="00A7410E">
      <w:pPr>
        <w:spacing w:line="360" w:lineRule="auto"/>
        <w:ind w:right="-2" w:firstLine="567"/>
        <w:jc w:val="both"/>
        <w:rPr>
          <w:sz w:val="28"/>
          <w:szCs w:val="28"/>
        </w:rPr>
      </w:pPr>
      <w:r w:rsidRPr="00A7410E">
        <w:rPr>
          <w:sz w:val="28"/>
          <w:szCs w:val="28"/>
        </w:rPr>
        <w:t>Формирование мотивационной готовности к учению начинается задолго до поступления в школу и во многом определяется качеством дошкольного опыта ребёнка. К моменту прихода в первый класс дети различаются по уровню сформированности познавательной активности, произвольности и умению взаимодействовать с взрослым в учебной ситуации [4]. Эти различия педагог вынужден принимать во внимание с первых дней обучения, иначе единая для всего класса методика неизбежно окажется нерабочей для значительной части детей.</w:t>
      </w:r>
    </w:p>
    <w:p w14:paraId="7669D111" w14:textId="623F1A38" w:rsidR="00A7410E" w:rsidRPr="00A7410E" w:rsidRDefault="00A7410E" w:rsidP="00A7410E">
      <w:pPr>
        <w:spacing w:line="360" w:lineRule="auto"/>
        <w:ind w:right="-2" w:firstLine="567"/>
        <w:jc w:val="both"/>
        <w:rPr>
          <w:sz w:val="28"/>
          <w:szCs w:val="28"/>
        </w:rPr>
      </w:pPr>
      <w:r w:rsidRPr="00A7410E">
        <w:rPr>
          <w:sz w:val="28"/>
          <w:szCs w:val="28"/>
        </w:rPr>
        <w:t xml:space="preserve">В педагогической практике накоплен ряд подходов, позволяющих целенаправленно работать с мотивационной сферой младших школьников. Игровые технологии </w:t>
      </w:r>
      <w:r>
        <w:rPr>
          <w:sz w:val="28"/>
          <w:szCs w:val="28"/>
        </w:rPr>
        <w:t>–</w:t>
      </w:r>
      <w:r w:rsidRPr="00A7410E">
        <w:rPr>
          <w:sz w:val="28"/>
          <w:szCs w:val="28"/>
        </w:rPr>
        <w:t xml:space="preserve"> один из наиболее разработанных и эмпирически обоснованных инструментов. Включение дидактических и сюжетно-ролевых игр в урочную деятельность удерживает произвольное внимание детей, снижает тревогу перед оценочными ситуациями и создаёт условия для эмоциональной вовлечённости в учебный материал [2]. При этом игра не подменяет учебную деятельность, а выступает переходным звеном между игровой деятельностью дошкольника и систематическим учением, постепенно уступая место собственно учебным формам работы по мере взросления ребёнка.</w:t>
      </w:r>
    </w:p>
    <w:p w14:paraId="54867063" w14:textId="39358751" w:rsidR="00A7410E" w:rsidRPr="00A7410E" w:rsidRDefault="00A7410E" w:rsidP="00A7410E">
      <w:pPr>
        <w:spacing w:line="360" w:lineRule="auto"/>
        <w:ind w:right="-2" w:firstLine="567"/>
        <w:jc w:val="both"/>
        <w:rPr>
          <w:sz w:val="28"/>
          <w:szCs w:val="28"/>
        </w:rPr>
      </w:pPr>
      <w:r w:rsidRPr="00A7410E">
        <w:rPr>
          <w:sz w:val="28"/>
          <w:szCs w:val="28"/>
        </w:rPr>
        <w:t xml:space="preserve">Среди педагогических условий, при соблюдении которых учебная мотивация формируется и удерживается на достаточном уровне, исследователи называют: а) создание ситуаций успеха через </w:t>
      </w:r>
      <w:r w:rsidRPr="00A7410E">
        <w:rPr>
          <w:sz w:val="28"/>
          <w:szCs w:val="28"/>
        </w:rPr>
        <w:lastRenderedPageBreak/>
        <w:t xml:space="preserve">дифференцированный подбор заданий с учётом возможностей конкретного ученика, б) предоставление ребёнку возможности делать осознанный выбор в рамках учебной ситуации (выбор темпа, формы выполнения задания), в) выстраивание субъект-субъектного диалога между педагогом и учеником, при котором ошибка не становится поводом для публичного осуждения [10]. Перечисленные условия не являются формальными требованиями </w:t>
      </w:r>
      <w:r>
        <w:rPr>
          <w:sz w:val="28"/>
          <w:szCs w:val="28"/>
        </w:rPr>
        <w:t>–</w:t>
      </w:r>
      <w:r w:rsidRPr="00A7410E">
        <w:rPr>
          <w:sz w:val="28"/>
          <w:szCs w:val="28"/>
        </w:rPr>
        <w:t xml:space="preserve"> в практике педагогов, добивающихся устойчивого интереса детей к учению, они прослеживаются как общая черта.</w:t>
      </w:r>
    </w:p>
    <w:p w14:paraId="44925F81" w14:textId="77777777" w:rsidR="00A7410E" w:rsidRPr="00A7410E" w:rsidRDefault="00A7410E" w:rsidP="00A7410E">
      <w:pPr>
        <w:spacing w:line="360" w:lineRule="auto"/>
        <w:ind w:right="-2" w:firstLine="567"/>
        <w:jc w:val="both"/>
        <w:rPr>
          <w:sz w:val="28"/>
          <w:szCs w:val="28"/>
        </w:rPr>
      </w:pPr>
      <w:r w:rsidRPr="00A7410E">
        <w:rPr>
          <w:sz w:val="28"/>
          <w:szCs w:val="28"/>
        </w:rPr>
        <w:t>Ещё одно направление, постепенно занимающее место в арсенале учителей начальных классов, связано с использованием арт-педагогических методов. Включение изобразительной, музыкальной или театральной деятельности в структуру урока оказывает влияние на эмоциональное состояние детей и косвенно повышает их готовность работать с учебным содержанием [9]. Механизм здесь достаточно прозрачен: положительный эмоциональный фон, создаваемый творческой деятельностью, снижает барьер перед учебной задачей и облегчает вхождение в неё.</w:t>
      </w:r>
    </w:p>
    <w:p w14:paraId="3E66B407" w14:textId="4E688D09" w:rsidR="00A7410E" w:rsidRPr="00A7410E" w:rsidRDefault="00A7410E" w:rsidP="00A7410E">
      <w:pPr>
        <w:spacing w:line="360" w:lineRule="auto"/>
        <w:ind w:right="-2" w:firstLine="567"/>
        <w:jc w:val="both"/>
        <w:rPr>
          <w:sz w:val="28"/>
          <w:szCs w:val="28"/>
        </w:rPr>
      </w:pPr>
      <w:r w:rsidRPr="00A7410E">
        <w:rPr>
          <w:sz w:val="28"/>
          <w:szCs w:val="28"/>
        </w:rPr>
        <w:t xml:space="preserve">Психолого-педагогическое сопровождение развития учебной мотивации не сводится к разовым коррекционным мероприятиям. Это систематическая работа, предполагающая мониторинг мотивационной сферы, взаимодействие педагога с семьёй и создание развивающей образовательной среды на протяжении всего периода начального обучения [6]. Там, где родители воспринимают учёбу как источник тревоги и соревнования, у ребёнка с большой вероятностью складывается </w:t>
      </w:r>
      <w:proofErr w:type="spellStart"/>
      <w:r w:rsidRPr="00A7410E">
        <w:rPr>
          <w:sz w:val="28"/>
          <w:szCs w:val="28"/>
        </w:rPr>
        <w:t>избегательная</w:t>
      </w:r>
      <w:proofErr w:type="spellEnd"/>
      <w:r w:rsidRPr="00A7410E">
        <w:rPr>
          <w:sz w:val="28"/>
          <w:szCs w:val="28"/>
        </w:rPr>
        <w:t xml:space="preserve"> мотивация </w:t>
      </w:r>
      <w:r>
        <w:rPr>
          <w:sz w:val="28"/>
          <w:szCs w:val="28"/>
        </w:rPr>
        <w:t>–</w:t>
      </w:r>
      <w:r w:rsidRPr="00A7410E">
        <w:rPr>
          <w:sz w:val="28"/>
          <w:szCs w:val="28"/>
        </w:rPr>
        <w:t xml:space="preserve"> и разрыв между позицией семьи и усилиями школы способен обесценить работу педагога даже при высоком её качестве.</w:t>
      </w:r>
    </w:p>
    <w:p w14:paraId="0515340F" w14:textId="77777777" w:rsidR="00A7410E" w:rsidRPr="00A7410E" w:rsidRDefault="00A7410E" w:rsidP="00A7410E">
      <w:pPr>
        <w:spacing w:line="360" w:lineRule="auto"/>
        <w:ind w:right="-2" w:firstLine="567"/>
        <w:jc w:val="both"/>
        <w:rPr>
          <w:sz w:val="28"/>
          <w:szCs w:val="28"/>
        </w:rPr>
      </w:pPr>
      <w:r w:rsidRPr="00A7410E">
        <w:rPr>
          <w:sz w:val="28"/>
          <w:szCs w:val="28"/>
        </w:rPr>
        <w:t xml:space="preserve">Диагностика мотивационной сферы в этой логике становится не разовой процедурой, а регулярным инструментом обратной связи. В логике М. В. Матюхиной, мотивация учения младшего школьника поддаётся целенаправленному формированию при условии, что педагог понимает её </w:t>
      </w:r>
      <w:r w:rsidRPr="00A7410E">
        <w:rPr>
          <w:sz w:val="28"/>
          <w:szCs w:val="28"/>
        </w:rPr>
        <w:lastRenderedPageBreak/>
        <w:t>структуру и умеет выявлять ведущие мотивы конкретного ребёнка [7]. Без этого понимания любые методические приёмы остаются ситуативными.</w:t>
      </w:r>
    </w:p>
    <w:p w14:paraId="58C64532" w14:textId="2190811C" w:rsidR="00075315" w:rsidRPr="005C477F" w:rsidRDefault="00A7410E" w:rsidP="00A7410E">
      <w:pPr>
        <w:spacing w:line="360" w:lineRule="auto"/>
        <w:ind w:right="-2" w:firstLine="567"/>
        <w:jc w:val="both"/>
        <w:rPr>
          <w:sz w:val="28"/>
          <w:szCs w:val="28"/>
        </w:rPr>
      </w:pPr>
      <w:r w:rsidRPr="00A7410E">
        <w:rPr>
          <w:sz w:val="28"/>
          <w:szCs w:val="28"/>
        </w:rPr>
        <w:t xml:space="preserve">Таким образом, мотивация к учению у детей младшего школьного возраста складывается под влиянием совокупности факторов </w:t>
      </w:r>
      <w:r>
        <w:rPr>
          <w:sz w:val="28"/>
          <w:szCs w:val="28"/>
        </w:rPr>
        <w:t>–</w:t>
      </w:r>
      <w:r w:rsidRPr="00A7410E">
        <w:rPr>
          <w:sz w:val="28"/>
          <w:szCs w:val="28"/>
        </w:rPr>
        <w:t xml:space="preserve"> психологических, педагогических и социальных, </w:t>
      </w:r>
      <w:r>
        <w:rPr>
          <w:sz w:val="28"/>
          <w:szCs w:val="28"/>
        </w:rPr>
        <w:t>–</w:t>
      </w:r>
      <w:r w:rsidRPr="00A7410E">
        <w:rPr>
          <w:sz w:val="28"/>
          <w:szCs w:val="28"/>
        </w:rPr>
        <w:t xml:space="preserve"> ни один из которых не действует изолированно. Устойчивый интерес к учению не возникает сам по себе: он формируется в условиях грамотно организованной образовательной среды, поддерживающей позиции семьи и профессиональной рефлексии педагога. Снижение же учебной мотивации, будучи зафиксированным своевременно, открывает возможность для адресного психолого-педагогического вмешательства </w:t>
      </w:r>
      <w:r>
        <w:rPr>
          <w:sz w:val="28"/>
          <w:szCs w:val="28"/>
        </w:rPr>
        <w:t>–</w:t>
      </w:r>
      <w:r w:rsidRPr="00A7410E">
        <w:rPr>
          <w:sz w:val="28"/>
          <w:szCs w:val="28"/>
        </w:rPr>
        <w:t xml:space="preserve"> прежде чем трудности ребёнка приобретут устойчивый характер</w:t>
      </w:r>
      <w:r w:rsidR="00075315" w:rsidRPr="005C477F">
        <w:rPr>
          <w:sz w:val="28"/>
          <w:szCs w:val="28"/>
        </w:rPr>
        <w:t>.</w:t>
      </w:r>
    </w:p>
    <w:p w14:paraId="49596721" w14:textId="77777777" w:rsidR="00075315" w:rsidRPr="00E004F0" w:rsidRDefault="00075315" w:rsidP="00075315">
      <w:pPr>
        <w:spacing w:line="360" w:lineRule="auto"/>
        <w:ind w:left="360" w:right="707"/>
        <w:jc w:val="center"/>
        <w:rPr>
          <w:b/>
          <w:bCs/>
        </w:rPr>
      </w:pPr>
      <w:r w:rsidRPr="00E004F0">
        <w:rPr>
          <w:b/>
        </w:rPr>
        <w:t>Список литературы</w:t>
      </w:r>
      <w:r>
        <w:rPr>
          <w:b/>
        </w:rPr>
        <w:t xml:space="preserve"> </w:t>
      </w:r>
    </w:p>
    <w:p w14:paraId="44FA4471" w14:textId="5439D4A9" w:rsidR="005C477F" w:rsidRPr="005C477F" w:rsidRDefault="005C477F" w:rsidP="005C477F">
      <w:pPr>
        <w:pStyle w:val="af"/>
        <w:numPr>
          <w:ilvl w:val="0"/>
          <w:numId w:val="3"/>
        </w:numPr>
        <w:jc w:val="both"/>
        <w:rPr>
          <w:rFonts w:ascii="Times New Roman" w:eastAsia="Times New Roman" w:hAnsi="Times New Roman"/>
          <w:iCs/>
          <w:sz w:val="24"/>
          <w:szCs w:val="24"/>
        </w:rPr>
      </w:pPr>
      <w:proofErr w:type="spellStart"/>
      <w:r w:rsidRPr="005C477F">
        <w:rPr>
          <w:rFonts w:ascii="Times New Roman" w:eastAsia="Times New Roman" w:hAnsi="Times New Roman"/>
          <w:i/>
          <w:sz w:val="24"/>
          <w:szCs w:val="24"/>
        </w:rPr>
        <w:t>Катунова</w:t>
      </w:r>
      <w:proofErr w:type="spellEnd"/>
      <w:r w:rsidRPr="005C477F">
        <w:rPr>
          <w:rFonts w:ascii="Times New Roman" w:eastAsia="Times New Roman" w:hAnsi="Times New Roman"/>
          <w:i/>
          <w:sz w:val="24"/>
          <w:szCs w:val="24"/>
        </w:rPr>
        <w:t xml:space="preserve"> В. В., Барыкина А. И., Божкова Е. Д.</w:t>
      </w:r>
      <w:r w:rsidRPr="005C477F">
        <w:rPr>
          <w:rFonts w:ascii="Times New Roman" w:eastAsia="Times New Roman" w:hAnsi="Times New Roman"/>
          <w:iCs/>
          <w:sz w:val="24"/>
          <w:szCs w:val="24"/>
        </w:rPr>
        <w:t xml:space="preserve"> Учебная мотивация учащихся начальных классов как диагностический маркер клинико-психологических нарушений // Сибирский психологический журнал. 2026. № 100. С. 172–191.</w:t>
      </w:r>
    </w:p>
    <w:p w14:paraId="50208C19"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r w:rsidRPr="005C477F">
        <w:rPr>
          <w:rFonts w:ascii="Times New Roman" w:eastAsia="Times New Roman" w:hAnsi="Times New Roman"/>
          <w:i/>
          <w:sz w:val="24"/>
          <w:szCs w:val="24"/>
        </w:rPr>
        <w:t>Гальцева О. А., Журавлева Е. Е.</w:t>
      </w:r>
      <w:r w:rsidRPr="005C477F">
        <w:rPr>
          <w:rFonts w:ascii="Times New Roman" w:eastAsia="Times New Roman" w:hAnsi="Times New Roman"/>
          <w:iCs/>
          <w:sz w:val="24"/>
          <w:szCs w:val="24"/>
        </w:rPr>
        <w:t xml:space="preserve"> Формирование учебной мотивации у младших школьников средствами игровых технологий // Символ науки. 2025. № 7-1. С. 46–47.</w:t>
      </w:r>
    </w:p>
    <w:p w14:paraId="0BAB8E40"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r w:rsidRPr="005C477F">
        <w:rPr>
          <w:rFonts w:ascii="Times New Roman" w:eastAsia="Times New Roman" w:hAnsi="Times New Roman"/>
          <w:i/>
          <w:sz w:val="24"/>
          <w:szCs w:val="24"/>
        </w:rPr>
        <w:t xml:space="preserve">Галушко И. Г., </w:t>
      </w:r>
      <w:proofErr w:type="spellStart"/>
      <w:r w:rsidRPr="005C477F">
        <w:rPr>
          <w:rFonts w:ascii="Times New Roman" w:eastAsia="Times New Roman" w:hAnsi="Times New Roman"/>
          <w:i/>
          <w:sz w:val="24"/>
          <w:szCs w:val="24"/>
        </w:rPr>
        <w:t>Камельянова</w:t>
      </w:r>
      <w:proofErr w:type="spellEnd"/>
      <w:r w:rsidRPr="005C477F">
        <w:rPr>
          <w:rFonts w:ascii="Times New Roman" w:eastAsia="Times New Roman" w:hAnsi="Times New Roman"/>
          <w:i/>
          <w:sz w:val="24"/>
          <w:szCs w:val="24"/>
        </w:rPr>
        <w:t xml:space="preserve"> Е. С.</w:t>
      </w:r>
      <w:r w:rsidRPr="005C477F">
        <w:rPr>
          <w:rFonts w:ascii="Times New Roman" w:eastAsia="Times New Roman" w:hAnsi="Times New Roman"/>
          <w:iCs/>
          <w:sz w:val="24"/>
          <w:szCs w:val="24"/>
        </w:rPr>
        <w:t xml:space="preserve"> Психологические факторы, влияющие на мотивацию к обучению младших школьников // Символ науки. 2024. № 12-1-3. С. 139–141.</w:t>
      </w:r>
    </w:p>
    <w:p w14:paraId="4F7CE7B2"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r w:rsidRPr="005C477F">
        <w:rPr>
          <w:rFonts w:ascii="Times New Roman" w:eastAsia="Times New Roman" w:hAnsi="Times New Roman"/>
          <w:i/>
          <w:sz w:val="24"/>
          <w:szCs w:val="24"/>
        </w:rPr>
        <w:t>Герасимова Д. П.</w:t>
      </w:r>
      <w:r w:rsidRPr="005C477F">
        <w:rPr>
          <w:rFonts w:ascii="Times New Roman" w:eastAsia="Times New Roman" w:hAnsi="Times New Roman"/>
          <w:iCs/>
          <w:sz w:val="24"/>
          <w:szCs w:val="24"/>
        </w:rPr>
        <w:t xml:space="preserve"> Особенности формирования учебной мотивации у детей младшего школьного возраста // Экономика и социум. 2024. № 12-1 (127). С. 738–741.</w:t>
      </w:r>
    </w:p>
    <w:p w14:paraId="05D16538"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r w:rsidRPr="005C477F">
        <w:rPr>
          <w:rFonts w:ascii="Times New Roman" w:eastAsia="Times New Roman" w:hAnsi="Times New Roman"/>
          <w:i/>
          <w:sz w:val="24"/>
          <w:szCs w:val="24"/>
        </w:rPr>
        <w:t>Леонтьев А. Н.</w:t>
      </w:r>
      <w:r w:rsidRPr="005C477F">
        <w:rPr>
          <w:rFonts w:ascii="Times New Roman" w:eastAsia="Times New Roman" w:hAnsi="Times New Roman"/>
          <w:iCs/>
          <w:sz w:val="24"/>
          <w:szCs w:val="24"/>
        </w:rPr>
        <w:t xml:space="preserve"> Деятельность. Сознание. Личность. М.: Смысл, 2021. 320 с.</w:t>
      </w:r>
    </w:p>
    <w:p w14:paraId="4D24C8BE"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proofErr w:type="spellStart"/>
      <w:r w:rsidRPr="005C477F">
        <w:rPr>
          <w:rFonts w:ascii="Times New Roman" w:eastAsia="Times New Roman" w:hAnsi="Times New Roman"/>
          <w:i/>
          <w:sz w:val="24"/>
          <w:szCs w:val="24"/>
        </w:rPr>
        <w:t>Заречнева</w:t>
      </w:r>
      <w:proofErr w:type="spellEnd"/>
      <w:r w:rsidRPr="005C477F">
        <w:rPr>
          <w:rFonts w:ascii="Times New Roman" w:eastAsia="Times New Roman" w:hAnsi="Times New Roman"/>
          <w:i/>
          <w:sz w:val="24"/>
          <w:szCs w:val="24"/>
        </w:rPr>
        <w:t xml:space="preserve"> Н. В., Антропова Л. Г.</w:t>
      </w:r>
      <w:r w:rsidRPr="005C477F">
        <w:rPr>
          <w:rFonts w:ascii="Times New Roman" w:eastAsia="Times New Roman" w:hAnsi="Times New Roman"/>
          <w:iCs/>
          <w:sz w:val="24"/>
          <w:szCs w:val="24"/>
        </w:rPr>
        <w:t xml:space="preserve"> Психолого-педагогическое сопровождение развития учебной мотивации младших школьников в образовательном процессе // Вестник магистратуры. 2025. № 4-2 (163). С. 53–54.</w:t>
      </w:r>
    </w:p>
    <w:p w14:paraId="17361218"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r w:rsidRPr="005C477F">
        <w:rPr>
          <w:rFonts w:ascii="Times New Roman" w:eastAsia="Times New Roman" w:hAnsi="Times New Roman"/>
          <w:i/>
          <w:sz w:val="24"/>
          <w:szCs w:val="24"/>
        </w:rPr>
        <w:t>Матюхина М. В.</w:t>
      </w:r>
      <w:r w:rsidRPr="005C477F">
        <w:rPr>
          <w:rFonts w:ascii="Times New Roman" w:eastAsia="Times New Roman" w:hAnsi="Times New Roman"/>
          <w:iCs/>
          <w:sz w:val="24"/>
          <w:szCs w:val="24"/>
        </w:rPr>
        <w:t xml:space="preserve"> Мотивация учения младших школьников. М.: Педагогика, 2018. 144 с.</w:t>
      </w:r>
    </w:p>
    <w:p w14:paraId="1060D9DF"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proofErr w:type="spellStart"/>
      <w:r w:rsidRPr="005C477F">
        <w:rPr>
          <w:rFonts w:ascii="Times New Roman" w:eastAsia="Times New Roman" w:hAnsi="Times New Roman"/>
          <w:i/>
          <w:sz w:val="24"/>
          <w:szCs w:val="24"/>
        </w:rPr>
        <w:t>Шепиль</w:t>
      </w:r>
      <w:proofErr w:type="spellEnd"/>
      <w:r w:rsidRPr="005C477F">
        <w:rPr>
          <w:rFonts w:ascii="Times New Roman" w:eastAsia="Times New Roman" w:hAnsi="Times New Roman"/>
          <w:i/>
          <w:sz w:val="24"/>
          <w:szCs w:val="24"/>
        </w:rPr>
        <w:t xml:space="preserve"> Д. А.</w:t>
      </w:r>
      <w:r w:rsidRPr="005C477F">
        <w:rPr>
          <w:rFonts w:ascii="Times New Roman" w:eastAsia="Times New Roman" w:hAnsi="Times New Roman"/>
          <w:iCs/>
          <w:sz w:val="24"/>
          <w:szCs w:val="24"/>
        </w:rPr>
        <w:t xml:space="preserve"> Роль возрастных особенностей первоклассников в развитии познавательной мотивации // Вестник науки. 2025. Т. 4. № 11 (92). С. 814–821.</w:t>
      </w:r>
    </w:p>
    <w:p w14:paraId="6E92E77F" w14:textId="77777777" w:rsidR="005C477F" w:rsidRPr="005C477F" w:rsidRDefault="005C477F" w:rsidP="005C477F">
      <w:pPr>
        <w:pStyle w:val="af"/>
        <w:numPr>
          <w:ilvl w:val="0"/>
          <w:numId w:val="3"/>
        </w:numPr>
        <w:jc w:val="both"/>
        <w:rPr>
          <w:rFonts w:ascii="Times New Roman" w:eastAsia="Times New Roman" w:hAnsi="Times New Roman"/>
          <w:iCs/>
          <w:sz w:val="24"/>
          <w:szCs w:val="24"/>
        </w:rPr>
      </w:pPr>
      <w:r w:rsidRPr="005C477F">
        <w:rPr>
          <w:rFonts w:ascii="Times New Roman" w:eastAsia="Times New Roman" w:hAnsi="Times New Roman"/>
          <w:i/>
          <w:sz w:val="24"/>
          <w:szCs w:val="24"/>
        </w:rPr>
        <w:t>Савкина Н. Г., Шевелева Н. П.</w:t>
      </w:r>
      <w:r w:rsidRPr="005C477F">
        <w:rPr>
          <w:rFonts w:ascii="Times New Roman" w:eastAsia="Times New Roman" w:hAnsi="Times New Roman"/>
          <w:iCs/>
          <w:sz w:val="24"/>
          <w:szCs w:val="24"/>
        </w:rPr>
        <w:t xml:space="preserve"> Арт-педагогика как средство формирования мотивации к учебной деятельности у младших школьников // Общество: социология, психология, педагогика. 2025. № 2. С. 117–124.</w:t>
      </w:r>
    </w:p>
    <w:p w14:paraId="0E7D674B" w14:textId="14C7E8C7" w:rsidR="00075315" w:rsidRPr="00550756" w:rsidRDefault="005C477F" w:rsidP="005C477F">
      <w:pPr>
        <w:pStyle w:val="af"/>
        <w:numPr>
          <w:ilvl w:val="0"/>
          <w:numId w:val="3"/>
        </w:numPr>
        <w:jc w:val="both"/>
        <w:rPr>
          <w:rFonts w:ascii="Times New Roman" w:hAnsi="Times New Roman"/>
          <w:sz w:val="24"/>
          <w:szCs w:val="24"/>
        </w:rPr>
      </w:pPr>
      <w:proofErr w:type="spellStart"/>
      <w:r w:rsidRPr="005C477F">
        <w:rPr>
          <w:rFonts w:ascii="Times New Roman" w:eastAsia="Times New Roman" w:hAnsi="Times New Roman"/>
          <w:i/>
          <w:sz w:val="24"/>
          <w:szCs w:val="24"/>
        </w:rPr>
        <w:t>Курмангалеева</w:t>
      </w:r>
      <w:proofErr w:type="spellEnd"/>
      <w:r w:rsidRPr="005C477F">
        <w:rPr>
          <w:rFonts w:ascii="Times New Roman" w:eastAsia="Times New Roman" w:hAnsi="Times New Roman"/>
          <w:i/>
          <w:sz w:val="24"/>
          <w:szCs w:val="24"/>
        </w:rPr>
        <w:t xml:space="preserve"> А. Р.</w:t>
      </w:r>
      <w:r w:rsidRPr="005C477F">
        <w:rPr>
          <w:rFonts w:ascii="Times New Roman" w:eastAsia="Times New Roman" w:hAnsi="Times New Roman"/>
          <w:iCs/>
          <w:sz w:val="24"/>
          <w:szCs w:val="24"/>
        </w:rPr>
        <w:t xml:space="preserve"> Педагогические условия управления процессом развития учебной мотивации у детей младшего школьного возраста // Вестник науки. 2026. Т. 4. № 4 (97). С. 548–553.</w:t>
      </w:r>
    </w:p>
    <w:sectPr w:rsidR="00075315" w:rsidRPr="00550756" w:rsidSect="00363AC5">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upperRoman"/>
      <w:suff w:val="space"/>
      <w:lvlText w:val="%1."/>
      <w:lvlJc w:val="left"/>
      <w:pPr>
        <w:tabs>
          <w:tab w:val="num" w:pos="0"/>
        </w:tabs>
        <w:ind w:left="720" w:hanging="360"/>
      </w:pPr>
      <w:rPr>
        <w:b/>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2" w15:restartNumberingAfterBreak="0">
    <w:nsid w:val="42DF1C72"/>
    <w:multiLevelType w:val="hybridMultilevel"/>
    <w:tmpl w:val="C858614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4475234">
    <w:abstractNumId w:val="0"/>
    <w:lvlOverride w:ilvl="0">
      <w:startOverride w:val="1"/>
    </w:lvlOverride>
  </w:num>
  <w:num w:numId="2" w16cid:durableId="1246840623">
    <w:abstractNumId w:val="1"/>
  </w:num>
  <w:num w:numId="3" w16cid:durableId="466552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F1B"/>
    <w:rsid w:val="00075315"/>
    <w:rsid w:val="000A7F34"/>
    <w:rsid w:val="00123C25"/>
    <w:rsid w:val="001B4F1B"/>
    <w:rsid w:val="0024180B"/>
    <w:rsid w:val="00363AC5"/>
    <w:rsid w:val="00393D6D"/>
    <w:rsid w:val="003B0133"/>
    <w:rsid w:val="005839F7"/>
    <w:rsid w:val="005A6E9B"/>
    <w:rsid w:val="005C4278"/>
    <w:rsid w:val="005C477F"/>
    <w:rsid w:val="005C7232"/>
    <w:rsid w:val="00675CF2"/>
    <w:rsid w:val="00694ECA"/>
    <w:rsid w:val="006B19FC"/>
    <w:rsid w:val="006C0B77"/>
    <w:rsid w:val="006E5FE1"/>
    <w:rsid w:val="007C27D8"/>
    <w:rsid w:val="008242FF"/>
    <w:rsid w:val="00854F40"/>
    <w:rsid w:val="00870751"/>
    <w:rsid w:val="008B3A05"/>
    <w:rsid w:val="00922C48"/>
    <w:rsid w:val="00934631"/>
    <w:rsid w:val="00A7410E"/>
    <w:rsid w:val="00B55D0C"/>
    <w:rsid w:val="00B55E30"/>
    <w:rsid w:val="00B72990"/>
    <w:rsid w:val="00B915B7"/>
    <w:rsid w:val="00D50AA5"/>
    <w:rsid w:val="00E63AF2"/>
    <w:rsid w:val="00E9498B"/>
    <w:rsid w:val="00EA59DF"/>
    <w:rsid w:val="00ED2C58"/>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F5958"/>
  <w15:chartTrackingRefBased/>
  <w15:docId w15:val="{9E712A17-C5DA-4EF5-8219-E79741A46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477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1B4F1B"/>
    <w:pPr>
      <w:keepNext/>
      <w:keepLines/>
      <w:spacing w:before="360" w:after="80"/>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1B4F1B"/>
    <w:pPr>
      <w:keepNext/>
      <w:keepLines/>
      <w:spacing w:before="160" w:after="80"/>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1B4F1B"/>
    <w:pPr>
      <w:keepNext/>
      <w:keepLines/>
      <w:spacing w:before="160" w:after="80"/>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1B4F1B"/>
    <w:pPr>
      <w:keepNext/>
      <w:keepLines/>
      <w:spacing w:before="80" w:after="40"/>
      <w:outlineLvl w:val="3"/>
    </w:pPr>
    <w:rPr>
      <w:rFonts w:asciiTheme="minorHAnsi" w:eastAsiaTheme="majorEastAsia" w:hAnsiTheme="minorHAnsi" w:cstheme="majorBidi"/>
      <w:i/>
      <w:iCs/>
      <w:color w:val="2E74B5" w:themeColor="accent1" w:themeShade="BF"/>
      <w:kern w:val="2"/>
      <w:sz w:val="28"/>
      <w:szCs w:val="22"/>
      <w:lang w:eastAsia="en-US"/>
      <w14:ligatures w14:val="standardContextual"/>
    </w:rPr>
  </w:style>
  <w:style w:type="paragraph" w:styleId="5">
    <w:name w:val="heading 5"/>
    <w:basedOn w:val="a"/>
    <w:next w:val="a"/>
    <w:link w:val="50"/>
    <w:uiPriority w:val="9"/>
    <w:semiHidden/>
    <w:unhideWhenUsed/>
    <w:qFormat/>
    <w:rsid w:val="001B4F1B"/>
    <w:pPr>
      <w:keepNext/>
      <w:keepLines/>
      <w:spacing w:before="80" w:after="40"/>
      <w:outlineLvl w:val="4"/>
    </w:pPr>
    <w:rPr>
      <w:rFonts w:asciiTheme="minorHAnsi" w:eastAsiaTheme="majorEastAsia" w:hAnsiTheme="minorHAnsi" w:cstheme="majorBidi"/>
      <w:color w:val="2E74B5" w:themeColor="accent1" w:themeShade="BF"/>
      <w:kern w:val="2"/>
      <w:sz w:val="28"/>
      <w:szCs w:val="22"/>
      <w:lang w:eastAsia="en-US"/>
      <w14:ligatures w14:val="standardContextual"/>
    </w:rPr>
  </w:style>
  <w:style w:type="paragraph" w:styleId="6">
    <w:name w:val="heading 6"/>
    <w:basedOn w:val="a"/>
    <w:next w:val="a"/>
    <w:link w:val="60"/>
    <w:uiPriority w:val="9"/>
    <w:semiHidden/>
    <w:unhideWhenUsed/>
    <w:qFormat/>
    <w:rsid w:val="001B4F1B"/>
    <w:pPr>
      <w:keepNext/>
      <w:keepLines/>
      <w:spacing w:before="40"/>
      <w:outlineLvl w:val="5"/>
    </w:pPr>
    <w:rPr>
      <w:rFonts w:asciiTheme="minorHAnsi" w:eastAsiaTheme="majorEastAsia" w:hAnsiTheme="minorHAnsi" w:cstheme="majorBidi"/>
      <w:i/>
      <w:iCs/>
      <w:color w:val="595959" w:themeColor="text1" w:themeTint="A6"/>
      <w:kern w:val="2"/>
      <w:sz w:val="28"/>
      <w:szCs w:val="22"/>
      <w:lang w:eastAsia="en-US"/>
      <w14:ligatures w14:val="standardContextual"/>
    </w:rPr>
  </w:style>
  <w:style w:type="paragraph" w:styleId="7">
    <w:name w:val="heading 7"/>
    <w:basedOn w:val="a"/>
    <w:next w:val="a"/>
    <w:link w:val="70"/>
    <w:uiPriority w:val="9"/>
    <w:semiHidden/>
    <w:unhideWhenUsed/>
    <w:qFormat/>
    <w:rsid w:val="001B4F1B"/>
    <w:pPr>
      <w:keepNext/>
      <w:keepLines/>
      <w:spacing w:before="40"/>
      <w:outlineLvl w:val="6"/>
    </w:pPr>
    <w:rPr>
      <w:rFonts w:asciiTheme="minorHAnsi" w:eastAsiaTheme="majorEastAsia" w:hAnsiTheme="minorHAnsi" w:cstheme="majorBidi"/>
      <w:color w:val="595959" w:themeColor="text1" w:themeTint="A6"/>
      <w:kern w:val="2"/>
      <w:sz w:val="28"/>
      <w:szCs w:val="22"/>
      <w:lang w:eastAsia="en-US"/>
      <w14:ligatures w14:val="standardContextual"/>
    </w:rPr>
  </w:style>
  <w:style w:type="paragraph" w:styleId="8">
    <w:name w:val="heading 8"/>
    <w:basedOn w:val="a"/>
    <w:next w:val="a"/>
    <w:link w:val="80"/>
    <w:uiPriority w:val="9"/>
    <w:semiHidden/>
    <w:unhideWhenUsed/>
    <w:qFormat/>
    <w:rsid w:val="001B4F1B"/>
    <w:pPr>
      <w:keepNext/>
      <w:keepLines/>
      <w:outlineLvl w:val="7"/>
    </w:pPr>
    <w:rPr>
      <w:rFonts w:asciiTheme="minorHAnsi" w:eastAsiaTheme="majorEastAsia" w:hAnsiTheme="minorHAnsi" w:cstheme="majorBidi"/>
      <w:i/>
      <w:iCs/>
      <w:color w:val="272727" w:themeColor="text1" w:themeTint="D8"/>
      <w:kern w:val="2"/>
      <w:sz w:val="28"/>
      <w:szCs w:val="22"/>
      <w:lang w:eastAsia="en-US"/>
      <w14:ligatures w14:val="standardContextual"/>
    </w:rPr>
  </w:style>
  <w:style w:type="paragraph" w:styleId="9">
    <w:name w:val="heading 9"/>
    <w:basedOn w:val="a"/>
    <w:next w:val="a"/>
    <w:link w:val="90"/>
    <w:uiPriority w:val="9"/>
    <w:semiHidden/>
    <w:unhideWhenUsed/>
    <w:qFormat/>
    <w:rsid w:val="001B4F1B"/>
    <w:pPr>
      <w:keepNext/>
      <w:keepLines/>
      <w:outlineLvl w:val="8"/>
    </w:pPr>
    <w:rPr>
      <w:rFonts w:asciiTheme="minorHAnsi" w:eastAsiaTheme="majorEastAsia" w:hAnsiTheme="minorHAnsi" w:cstheme="majorBidi"/>
      <w:color w:val="272727" w:themeColor="text1" w:themeTint="D8"/>
      <w:kern w:val="2"/>
      <w:sz w:val="28"/>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4F1B"/>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1B4F1B"/>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1B4F1B"/>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1B4F1B"/>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1B4F1B"/>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1B4F1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B4F1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B4F1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B4F1B"/>
    <w:rPr>
      <w:rFonts w:eastAsiaTheme="majorEastAsia" w:cstheme="majorBidi"/>
      <w:color w:val="272727" w:themeColor="text1" w:themeTint="D8"/>
      <w:sz w:val="28"/>
    </w:rPr>
  </w:style>
  <w:style w:type="paragraph" w:styleId="a3">
    <w:name w:val="Title"/>
    <w:basedOn w:val="a"/>
    <w:next w:val="a"/>
    <w:link w:val="a4"/>
    <w:uiPriority w:val="10"/>
    <w:qFormat/>
    <w:rsid w:val="001B4F1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1B4F1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B4F1B"/>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1B4F1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B4F1B"/>
    <w:pPr>
      <w:spacing w:before="160" w:after="160"/>
      <w:jc w:val="center"/>
    </w:pPr>
    <w:rPr>
      <w:rFonts w:eastAsiaTheme="minorHAnsi" w:cstheme="minorBidi"/>
      <w:i/>
      <w:iCs/>
      <w:color w:val="404040" w:themeColor="text1" w:themeTint="BF"/>
      <w:kern w:val="2"/>
      <w:sz w:val="28"/>
      <w:szCs w:val="22"/>
      <w:lang w:eastAsia="en-US"/>
      <w14:ligatures w14:val="standardContextual"/>
    </w:rPr>
  </w:style>
  <w:style w:type="character" w:customStyle="1" w:styleId="22">
    <w:name w:val="Цитата 2 Знак"/>
    <w:basedOn w:val="a0"/>
    <w:link w:val="21"/>
    <w:uiPriority w:val="29"/>
    <w:rsid w:val="001B4F1B"/>
    <w:rPr>
      <w:rFonts w:ascii="Times New Roman" w:hAnsi="Times New Roman"/>
      <w:i/>
      <w:iCs/>
      <w:color w:val="404040" w:themeColor="text1" w:themeTint="BF"/>
      <w:sz w:val="28"/>
    </w:rPr>
  </w:style>
  <w:style w:type="paragraph" w:styleId="a7">
    <w:name w:val="List Paragraph"/>
    <w:basedOn w:val="a"/>
    <w:link w:val="a8"/>
    <w:uiPriority w:val="34"/>
    <w:qFormat/>
    <w:rsid w:val="001B4F1B"/>
    <w:pPr>
      <w:spacing w:after="160"/>
      <w:ind w:left="720"/>
      <w:contextualSpacing/>
    </w:pPr>
    <w:rPr>
      <w:rFonts w:eastAsiaTheme="minorHAnsi" w:cstheme="minorBidi"/>
      <w:kern w:val="2"/>
      <w:sz w:val="28"/>
      <w:szCs w:val="22"/>
      <w:lang w:eastAsia="en-US"/>
      <w14:ligatures w14:val="standardContextual"/>
    </w:rPr>
  </w:style>
  <w:style w:type="character" w:styleId="a9">
    <w:name w:val="Intense Emphasis"/>
    <w:basedOn w:val="a0"/>
    <w:uiPriority w:val="21"/>
    <w:qFormat/>
    <w:rsid w:val="001B4F1B"/>
    <w:rPr>
      <w:i/>
      <w:iCs/>
      <w:color w:val="2E74B5" w:themeColor="accent1" w:themeShade="BF"/>
    </w:rPr>
  </w:style>
  <w:style w:type="paragraph" w:styleId="aa">
    <w:name w:val="Intense Quote"/>
    <w:basedOn w:val="a"/>
    <w:next w:val="a"/>
    <w:link w:val="ab"/>
    <w:uiPriority w:val="30"/>
    <w:qFormat/>
    <w:rsid w:val="001B4F1B"/>
    <w:pPr>
      <w:pBdr>
        <w:top w:val="single" w:sz="4" w:space="10" w:color="2E74B5" w:themeColor="accent1" w:themeShade="BF"/>
        <w:bottom w:val="single" w:sz="4" w:space="10" w:color="2E74B5" w:themeColor="accent1" w:themeShade="BF"/>
      </w:pBdr>
      <w:spacing w:before="360" w:after="360"/>
      <w:ind w:left="864" w:right="864"/>
      <w:jc w:val="center"/>
    </w:pPr>
    <w:rPr>
      <w:rFonts w:eastAsiaTheme="minorHAnsi" w:cstheme="minorBidi"/>
      <w:i/>
      <w:iCs/>
      <w:color w:val="2E74B5" w:themeColor="accent1" w:themeShade="BF"/>
      <w:kern w:val="2"/>
      <w:sz w:val="28"/>
      <w:szCs w:val="22"/>
      <w:lang w:eastAsia="en-US"/>
      <w14:ligatures w14:val="standardContextual"/>
    </w:rPr>
  </w:style>
  <w:style w:type="character" w:customStyle="1" w:styleId="ab">
    <w:name w:val="Выделенная цитата Знак"/>
    <w:basedOn w:val="a0"/>
    <w:link w:val="aa"/>
    <w:uiPriority w:val="30"/>
    <w:rsid w:val="001B4F1B"/>
    <w:rPr>
      <w:rFonts w:ascii="Times New Roman" w:hAnsi="Times New Roman"/>
      <w:i/>
      <w:iCs/>
      <w:color w:val="2E74B5" w:themeColor="accent1" w:themeShade="BF"/>
      <w:sz w:val="28"/>
    </w:rPr>
  </w:style>
  <w:style w:type="character" w:styleId="ac">
    <w:name w:val="Intense Reference"/>
    <w:basedOn w:val="a0"/>
    <w:uiPriority w:val="32"/>
    <w:qFormat/>
    <w:rsid w:val="001B4F1B"/>
    <w:rPr>
      <w:b/>
      <w:bCs/>
      <w:smallCaps/>
      <w:color w:val="2E74B5" w:themeColor="accent1" w:themeShade="BF"/>
      <w:spacing w:val="5"/>
    </w:rPr>
  </w:style>
  <w:style w:type="character" w:styleId="ad">
    <w:name w:val="Hyperlink"/>
    <w:uiPriority w:val="99"/>
    <w:unhideWhenUsed/>
    <w:rsid w:val="00075315"/>
    <w:rPr>
      <w:color w:val="0563C1"/>
      <w:u w:val="single"/>
    </w:rPr>
  </w:style>
  <w:style w:type="character" w:customStyle="1" w:styleId="apple-converted-space">
    <w:name w:val="apple-converted-space"/>
    <w:basedOn w:val="a0"/>
    <w:rsid w:val="00075315"/>
  </w:style>
  <w:style w:type="character" w:customStyle="1" w:styleId="a8">
    <w:name w:val="Абзац списка Знак"/>
    <w:link w:val="a7"/>
    <w:uiPriority w:val="34"/>
    <w:locked/>
    <w:rsid w:val="00075315"/>
    <w:rPr>
      <w:rFonts w:ascii="Times New Roman" w:hAnsi="Times New Roman"/>
      <w:sz w:val="28"/>
    </w:rPr>
  </w:style>
  <w:style w:type="paragraph" w:customStyle="1" w:styleId="ae">
    <w:name w:val="a"/>
    <w:basedOn w:val="a"/>
    <w:rsid w:val="00075315"/>
    <w:pPr>
      <w:spacing w:before="100" w:beforeAutospacing="1" w:after="100" w:afterAutospacing="1"/>
    </w:pPr>
  </w:style>
  <w:style w:type="paragraph" w:styleId="af">
    <w:name w:val="No Spacing"/>
    <w:uiPriority w:val="1"/>
    <w:qFormat/>
    <w:rsid w:val="00075315"/>
    <w:pPr>
      <w:spacing w:after="0" w:line="240" w:lineRule="auto"/>
    </w:pPr>
    <w:rPr>
      <w:rFonts w:ascii="Calibri" w:eastAsia="Calibri" w:hAnsi="Calibri" w:cs="Times New Roman"/>
      <w:kern w:val="0"/>
      <w14:ligatures w14:val="none"/>
    </w:rPr>
  </w:style>
  <w:style w:type="paragraph" w:customStyle="1" w:styleId="af0">
    <w:name w:val="Базовый"/>
    <w:rsid w:val="00075315"/>
    <w:pPr>
      <w:tabs>
        <w:tab w:val="left" w:pos="709"/>
      </w:tabs>
      <w:suppressAutoHyphens/>
      <w:spacing w:after="200" w:line="276" w:lineRule="atLeast"/>
    </w:pPr>
    <w:rPr>
      <w:rFonts w:ascii="Calibri" w:eastAsia="Calibri" w:hAnsi="Calibri" w:cs="Calibri"/>
      <w:kern w:val="0"/>
      <w14:ligatures w14:val="none"/>
    </w:rPr>
  </w:style>
  <w:style w:type="character" w:customStyle="1" w:styleId="af1">
    <w:name w:val="Основной текст Знак"/>
    <w:link w:val="af2"/>
    <w:semiHidden/>
    <w:locked/>
    <w:rsid w:val="00075315"/>
    <w:rPr>
      <w:b/>
      <w:sz w:val="24"/>
    </w:rPr>
  </w:style>
  <w:style w:type="paragraph" w:styleId="af2">
    <w:name w:val="Body Text"/>
    <w:basedOn w:val="a"/>
    <w:link w:val="af1"/>
    <w:semiHidden/>
    <w:rsid w:val="00075315"/>
    <w:pPr>
      <w:jc w:val="center"/>
    </w:pPr>
    <w:rPr>
      <w:rFonts w:asciiTheme="minorHAnsi" w:eastAsiaTheme="minorHAnsi" w:hAnsiTheme="minorHAnsi" w:cstheme="minorBidi"/>
      <w:b/>
      <w:kern w:val="2"/>
      <w:szCs w:val="22"/>
      <w:lang w:eastAsia="en-US"/>
      <w14:ligatures w14:val="standardContextual"/>
    </w:rPr>
  </w:style>
  <w:style w:type="character" w:customStyle="1" w:styleId="11">
    <w:name w:val="Основной текст Знак1"/>
    <w:basedOn w:val="a0"/>
    <w:uiPriority w:val="99"/>
    <w:semiHidden/>
    <w:rsid w:val="00075315"/>
    <w:rPr>
      <w:rFonts w:ascii="Times New Roman" w:eastAsia="Times New Roman" w:hAnsi="Times New Roman" w:cs="Times New Roman"/>
      <w:kern w:val="0"/>
      <w:sz w:val="24"/>
      <w:szCs w:val="24"/>
      <w:lang w:eastAsia="ru-RU"/>
      <w14:ligatures w14:val="none"/>
    </w:rPr>
  </w:style>
  <w:style w:type="paragraph" w:styleId="af3">
    <w:name w:val="Balloon Text"/>
    <w:basedOn w:val="a"/>
    <w:link w:val="af4"/>
    <w:uiPriority w:val="99"/>
    <w:semiHidden/>
    <w:unhideWhenUsed/>
    <w:rsid w:val="003B0133"/>
    <w:rPr>
      <w:rFonts w:ascii="Segoe UI" w:hAnsi="Segoe UI" w:cs="Segoe UI"/>
      <w:sz w:val="18"/>
      <w:szCs w:val="18"/>
    </w:rPr>
  </w:style>
  <w:style w:type="character" w:customStyle="1" w:styleId="af4">
    <w:name w:val="Текст выноски Знак"/>
    <w:basedOn w:val="a0"/>
    <w:link w:val="af3"/>
    <w:uiPriority w:val="99"/>
    <w:semiHidden/>
    <w:rsid w:val="003B0133"/>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1484</Words>
  <Characters>8459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Сема Шаудрейзов</cp:lastModifiedBy>
  <cp:revision>4</cp:revision>
  <cp:lastPrinted>2025-12-22T07:45:00Z</cp:lastPrinted>
  <dcterms:created xsi:type="dcterms:W3CDTF">2026-09-21T07:48:00Z</dcterms:created>
  <dcterms:modified xsi:type="dcterms:W3CDTF">2026-10-04T15:08:00Z</dcterms:modified>
</cp:coreProperties>
</file>