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A037FC" w14:textId="77777777" w:rsidR="00437DA9" w:rsidRPr="00437DA9" w:rsidRDefault="00437DA9" w:rsidP="00437DA9">
      <w:pPr>
        <w:spacing w:after="0" w:line="240" w:lineRule="auto"/>
        <w:ind w:firstLine="709"/>
        <w:jc w:val="right"/>
        <w:rPr>
          <w:rFonts w:ascii="Times New Roman" w:eastAsia="Calibri" w:hAnsi="Times New Roman" w:cs="Times New Roman"/>
          <w:b/>
          <w:bCs/>
          <w:i/>
          <w:iCs/>
          <w:kern w:val="0"/>
          <w:sz w:val="26"/>
          <w:szCs w:val="26"/>
          <w14:ligatures w14:val="none"/>
        </w:rPr>
      </w:pPr>
      <w:r w:rsidRPr="00437DA9">
        <w:rPr>
          <w:rFonts w:ascii="Times New Roman" w:eastAsia="Calibri" w:hAnsi="Times New Roman" w:cs="Times New Roman"/>
          <w:b/>
          <w:bCs/>
          <w:i/>
          <w:iCs/>
          <w:kern w:val="0"/>
          <w:sz w:val="26"/>
          <w:szCs w:val="26"/>
          <w14:ligatures w14:val="none"/>
        </w:rPr>
        <w:t>Юденко Кристина Сергеевна,</w:t>
      </w:r>
    </w:p>
    <w:p w14:paraId="5690704C" w14:textId="77777777" w:rsidR="00437DA9" w:rsidRPr="00437DA9" w:rsidRDefault="00437DA9" w:rsidP="00437DA9">
      <w:pPr>
        <w:spacing w:after="0" w:line="240" w:lineRule="auto"/>
        <w:ind w:firstLine="709"/>
        <w:jc w:val="right"/>
        <w:rPr>
          <w:rFonts w:ascii="Times New Roman" w:eastAsia="Calibri" w:hAnsi="Times New Roman" w:cs="Times New Roman"/>
          <w:i/>
          <w:iCs/>
          <w:kern w:val="0"/>
          <w:sz w:val="26"/>
          <w:szCs w:val="26"/>
          <w14:ligatures w14:val="none"/>
        </w:rPr>
      </w:pPr>
      <w:r w:rsidRPr="00437DA9">
        <w:rPr>
          <w:rFonts w:ascii="Times New Roman" w:eastAsia="Calibri" w:hAnsi="Times New Roman" w:cs="Times New Roman"/>
          <w:i/>
          <w:iCs/>
          <w:kern w:val="0"/>
          <w:sz w:val="26"/>
          <w:szCs w:val="26"/>
          <w14:ligatures w14:val="none"/>
        </w:rPr>
        <w:t xml:space="preserve">методист </w:t>
      </w:r>
    </w:p>
    <w:p w14:paraId="7E3104D3" w14:textId="77777777" w:rsidR="00437DA9" w:rsidRPr="00437DA9" w:rsidRDefault="00437DA9" w:rsidP="00437DA9">
      <w:pPr>
        <w:spacing w:after="0" w:line="240" w:lineRule="auto"/>
        <w:ind w:firstLine="709"/>
        <w:jc w:val="right"/>
        <w:rPr>
          <w:rFonts w:ascii="Times New Roman" w:eastAsia="Calibri" w:hAnsi="Times New Roman" w:cs="Times New Roman"/>
          <w:i/>
          <w:iCs/>
          <w:kern w:val="0"/>
          <w:sz w:val="26"/>
          <w:szCs w:val="26"/>
          <w14:ligatures w14:val="none"/>
        </w:rPr>
      </w:pPr>
      <w:r w:rsidRPr="00437DA9">
        <w:rPr>
          <w:rFonts w:ascii="Times New Roman" w:eastAsia="Calibri" w:hAnsi="Times New Roman" w:cs="Times New Roman"/>
          <w:i/>
          <w:iCs/>
          <w:kern w:val="0"/>
          <w:sz w:val="26"/>
          <w:szCs w:val="26"/>
          <w14:ligatures w14:val="none"/>
        </w:rPr>
        <w:t>МАОУДО ДЮЦ,</w:t>
      </w:r>
    </w:p>
    <w:p w14:paraId="653466CE" w14:textId="00C75FB8" w:rsidR="00437DA9" w:rsidRDefault="00437DA9" w:rsidP="00437DA9">
      <w:pPr>
        <w:spacing w:after="120" w:line="240" w:lineRule="auto"/>
        <w:ind w:firstLine="709"/>
        <w:jc w:val="right"/>
        <w:rPr>
          <w:rFonts w:ascii="Times New Roman" w:eastAsia="Calibri" w:hAnsi="Times New Roman" w:cs="Times New Roman"/>
          <w:i/>
          <w:iCs/>
          <w:kern w:val="0"/>
          <w:sz w:val="26"/>
          <w:szCs w:val="26"/>
          <w14:ligatures w14:val="none"/>
        </w:rPr>
      </w:pPr>
      <w:r w:rsidRPr="00437DA9">
        <w:rPr>
          <w:rFonts w:ascii="Times New Roman" w:eastAsia="Calibri" w:hAnsi="Times New Roman" w:cs="Times New Roman"/>
          <w:i/>
          <w:iCs/>
          <w:kern w:val="0"/>
          <w:sz w:val="26"/>
          <w:szCs w:val="26"/>
          <w14:ligatures w14:val="none"/>
        </w:rPr>
        <w:t>г. Северодвинск</w:t>
      </w:r>
      <w:r>
        <w:rPr>
          <w:rFonts w:ascii="Times New Roman" w:eastAsia="Calibri" w:hAnsi="Times New Roman" w:cs="Times New Roman"/>
          <w:i/>
          <w:iCs/>
          <w:kern w:val="0"/>
          <w:sz w:val="26"/>
          <w:szCs w:val="26"/>
          <w14:ligatures w14:val="none"/>
        </w:rPr>
        <w:t>, Архангельская область</w:t>
      </w:r>
    </w:p>
    <w:p w14:paraId="20557147" w14:textId="77777777" w:rsidR="00437DA9" w:rsidRPr="00437DA9" w:rsidRDefault="00437DA9" w:rsidP="00437DA9">
      <w:pPr>
        <w:spacing w:after="120" w:line="240" w:lineRule="auto"/>
        <w:ind w:firstLine="709"/>
        <w:jc w:val="right"/>
        <w:rPr>
          <w:rFonts w:ascii="Times New Roman" w:eastAsia="Calibri" w:hAnsi="Times New Roman" w:cs="Times New Roman"/>
          <w:i/>
          <w:iCs/>
          <w:kern w:val="0"/>
          <w:sz w:val="26"/>
          <w:szCs w:val="26"/>
          <w14:ligatures w14:val="none"/>
        </w:rPr>
      </w:pPr>
    </w:p>
    <w:p w14:paraId="37AD4332" w14:textId="1BC810AC" w:rsidR="00093398" w:rsidRPr="00437DA9" w:rsidRDefault="00437DA9" w:rsidP="00437DA9">
      <w:pPr>
        <w:jc w:val="center"/>
        <w:rPr>
          <w:rFonts w:ascii="Times New Roman" w:hAnsi="Times New Roman" w:cs="Times New Roman"/>
          <w:b/>
          <w:bCs/>
          <w:sz w:val="28"/>
          <w:szCs w:val="28"/>
        </w:rPr>
      </w:pPr>
      <w:r w:rsidRPr="00437DA9">
        <w:rPr>
          <w:rFonts w:ascii="Times New Roman" w:hAnsi="Times New Roman" w:cs="Times New Roman"/>
          <w:b/>
          <w:bCs/>
          <w:sz w:val="28"/>
          <w:szCs w:val="28"/>
        </w:rPr>
        <w:t>КРИТЕРИИ ОЦЕНКИ В ДОПОЛНИТЕЛЬНОМ ОБРАЗОВАНИИ: КАК ОЦЕНИВАТЬ РЕЗУЛЬТАТЫ ОБУЧЕНИЯ ТАК, ЧТОБЫ РЕБЕНОК ПОНИМАЛ СВОЙ ПРОГРЕСС</w:t>
      </w:r>
    </w:p>
    <w:p w14:paraId="7532F177" w14:textId="77777777" w:rsidR="00437DA9" w:rsidRPr="00437DA9" w:rsidRDefault="00437DA9" w:rsidP="00437DA9">
      <w:pPr>
        <w:spacing w:after="0" w:line="276" w:lineRule="auto"/>
        <w:ind w:firstLine="709"/>
        <w:jc w:val="both"/>
        <w:rPr>
          <w:rFonts w:ascii="Times New Roman" w:hAnsi="Times New Roman" w:cs="Times New Roman"/>
          <w:sz w:val="24"/>
          <w:szCs w:val="24"/>
        </w:rPr>
      </w:pPr>
      <w:r w:rsidRPr="00437DA9">
        <w:rPr>
          <w:rFonts w:ascii="Times New Roman" w:hAnsi="Times New Roman" w:cs="Times New Roman"/>
          <w:sz w:val="24"/>
          <w:szCs w:val="24"/>
        </w:rPr>
        <w:t>Оценка является неотъемлемым элементом жизнедеятельности человека. Как справедливо отмечают исследователи, осознает или не осознает человек то, что он непрерывно оценивает, – он это делает для регулирования и упорядочивания своей деятельности, поведения, отношений с другими людьми и окружающим миром, самим собой в соответствии с нормами (своими или общепринятыми) [7, с. 45]. Периодически человек специально оценивает свои действия для установления их целесообразности, успешности, адекватности или результативности. Человек сам ставит оценки, но и получает их от других, и, как точно подметил поэт Михаил Танич, «кто ошибётся, кто угадает, … то дальнозорко, то близоруко, часто простое кажется вздорным, чёрное белым, белое чёрным» [1]. В полной мере эта неоднозначность и субъективность оценки проявляется в образовании, где на протяжении всей истории определение понятия «оценка» и его применение постоянно менялись, уточнялись и до настоящего времени остаются труднообъяснимыми [2, с. 15].</w:t>
      </w:r>
    </w:p>
    <w:p w14:paraId="3E666056" w14:textId="77777777" w:rsidR="00437DA9" w:rsidRPr="00437DA9" w:rsidRDefault="00437DA9" w:rsidP="00437DA9">
      <w:pPr>
        <w:spacing w:after="0" w:line="276" w:lineRule="auto"/>
        <w:ind w:firstLine="709"/>
        <w:jc w:val="both"/>
        <w:rPr>
          <w:rFonts w:ascii="Times New Roman" w:hAnsi="Times New Roman" w:cs="Times New Roman"/>
          <w:sz w:val="24"/>
          <w:szCs w:val="24"/>
        </w:rPr>
      </w:pPr>
      <w:r w:rsidRPr="00437DA9">
        <w:rPr>
          <w:rFonts w:ascii="Times New Roman" w:hAnsi="Times New Roman" w:cs="Times New Roman"/>
          <w:sz w:val="24"/>
          <w:szCs w:val="24"/>
        </w:rPr>
        <w:t>Разные варианты понимания и определения оценки по-особому преломляются в реальной практике образования. Вместе с тем до настоящего времени в образовании доминирует «образ оценки» как действия в рамках процедуры контроля, осуществляемого человеком (учителем, педагогом, взрослым, директором, контролером, инспектором, комиссией и т. д.), завершающегося знаковой отметкой успехов, недостатков, знаний или умений, воспитанности или развитости, результатов учебной работы ученика [4, с. 26]. Оценка выполняла и продолжает выполнять роль средства образовательной селекции и профессионального отбора, закрепленного выдачей сертификата государственного образца. Нельзя отрицать факт воспитательной функции такой оценки, но вместе с тем уже не требует специальных доказательств ее неточность, несоответствие реалиям [8, с. 34]. Особенно четко это проявляется при оценке качества деятельности педагога или образовательной организации, качества результатов образовательной деятельности, качества результатов обучения или воспитания учеников. Как справедливо замечено в научно-фантастическом фильме Люка Бессона «Люси», «все системы, изобретенные людьми, − лишь набросок. Один плюс один равно двум, это всё, что мы выучили. Мы навесили эти ярлыки, чтобы упростить жизнь, сделать её понятнее. Мы придумали шкалу измерений, чтобы забыть о нашей неизмеримости» [3].</w:t>
      </w:r>
    </w:p>
    <w:p w14:paraId="788A91B0" w14:textId="77777777" w:rsidR="00437DA9" w:rsidRPr="00437DA9" w:rsidRDefault="00437DA9" w:rsidP="00437DA9">
      <w:pPr>
        <w:spacing w:after="0" w:line="276" w:lineRule="auto"/>
        <w:ind w:firstLine="709"/>
        <w:jc w:val="both"/>
        <w:rPr>
          <w:rFonts w:ascii="Times New Roman" w:hAnsi="Times New Roman" w:cs="Times New Roman"/>
          <w:sz w:val="24"/>
          <w:szCs w:val="24"/>
        </w:rPr>
      </w:pPr>
      <w:r w:rsidRPr="00437DA9">
        <w:rPr>
          <w:rFonts w:ascii="Times New Roman" w:hAnsi="Times New Roman" w:cs="Times New Roman"/>
          <w:sz w:val="24"/>
          <w:szCs w:val="24"/>
        </w:rPr>
        <w:t xml:space="preserve">В контексте дополнительного образования детей эта проблема приобретает особую остроту. Как подчеркивает А.Г. Асмолов, дополнительное образование всегда позиционировало себя как дистанцированное от школы, свободное от жестких стандартов и формализованного оценивания [7, с. 8]. Однако, как показывает анализ практики, понимание и использование оценки в деятельности объединений по интересам, по большому счету, остаются «школьными». Даже обращение к вопросам качества не </w:t>
      </w:r>
      <w:r w:rsidRPr="00437DA9">
        <w:rPr>
          <w:rFonts w:ascii="Times New Roman" w:hAnsi="Times New Roman" w:cs="Times New Roman"/>
          <w:sz w:val="24"/>
          <w:szCs w:val="24"/>
        </w:rPr>
        <w:lastRenderedPageBreak/>
        <w:t>изменило глубоко укоренившейся привычки в оценках презентовать результаты детей – участников объединений по интересам. При этом уровень успешности освоения образовательной программы оформляется не только в баллах, но и медалями, наградами, кубками, теми или иными льготами при поступлении в вуз, а при меньшем уровне успешности – используется похвала, поощрение (</w:t>
      </w:r>
      <w:proofErr w:type="spellStart"/>
      <w:r w:rsidRPr="00437DA9">
        <w:rPr>
          <w:rFonts w:ascii="Times New Roman" w:hAnsi="Times New Roman" w:cs="Times New Roman"/>
          <w:sz w:val="24"/>
          <w:szCs w:val="24"/>
        </w:rPr>
        <w:t>безотметочное</w:t>
      </w:r>
      <w:proofErr w:type="spellEnd"/>
      <w:r w:rsidRPr="00437DA9">
        <w:rPr>
          <w:rFonts w:ascii="Times New Roman" w:hAnsi="Times New Roman" w:cs="Times New Roman"/>
          <w:sz w:val="24"/>
          <w:szCs w:val="24"/>
        </w:rPr>
        <w:t xml:space="preserve"> суждение) или согласие с правом простого присутствия [5, с. 14]. Именно количество самых эффективных результатов детей – участников объединения по интересам, т. е. тех, кто выступил и завоевал приз, победил на соревновании, получил медаль или другой знак отличия, используется для предъявления «качества дополнительного образования детей». Эта традиция не только не ослабевает, но и сегодня приобретает все большую силу, т. к. соединяется с финансовыми решениями относительно оценки качества педагогического труда или отчетностью по выявлению и работе с одаренными детьми [6, с. 112].</w:t>
      </w:r>
    </w:p>
    <w:p w14:paraId="770413F5" w14:textId="77777777" w:rsidR="00437DA9" w:rsidRPr="00437DA9" w:rsidRDefault="00437DA9" w:rsidP="00437DA9">
      <w:pPr>
        <w:spacing w:after="0" w:line="276" w:lineRule="auto"/>
        <w:ind w:firstLine="709"/>
        <w:jc w:val="both"/>
        <w:rPr>
          <w:rFonts w:ascii="Times New Roman" w:hAnsi="Times New Roman" w:cs="Times New Roman"/>
          <w:sz w:val="24"/>
          <w:szCs w:val="24"/>
        </w:rPr>
      </w:pPr>
      <w:r w:rsidRPr="00437DA9">
        <w:rPr>
          <w:rFonts w:ascii="Times New Roman" w:hAnsi="Times New Roman" w:cs="Times New Roman"/>
          <w:sz w:val="24"/>
          <w:szCs w:val="24"/>
        </w:rPr>
        <w:t>Возникает закономерное и острое противоречие: с одной стороны, система дополнительного образования вынуждена отчитываться о достижениях в виде побед и наград, с другой стороны, эта же система декларирует свою гуманистическую миссию — создание условий для самореализации и развития каждого ребенка, а не только избранных. В этой точке напряжения находится, пожалуй, главный вызов для современного педагога и методиста: как построить оценочную деятельность так, чтобы она не выполняла преимущественно селективную функцию, а помогала каждому обучающемуся видеть собственный, индивидуальный прогресс? Как сместить акцент с внешних атрибутов успеха (грамоты, кубки, дипломы) на внутреннее ощущение движения вперед, которое, согласно исследованиям Т.П. Скрипкиной, является базовым условием формирования учебной мотивации и доверия к образовательной среде [9, с. 78]?</w:t>
      </w:r>
    </w:p>
    <w:p w14:paraId="727E8421" w14:textId="77777777" w:rsidR="00437DA9" w:rsidRPr="00437DA9" w:rsidRDefault="00437DA9" w:rsidP="00437DA9">
      <w:pPr>
        <w:spacing w:after="0" w:line="276" w:lineRule="auto"/>
        <w:ind w:firstLine="709"/>
        <w:jc w:val="both"/>
        <w:rPr>
          <w:rFonts w:ascii="Times New Roman" w:hAnsi="Times New Roman" w:cs="Times New Roman"/>
          <w:sz w:val="24"/>
          <w:szCs w:val="24"/>
        </w:rPr>
      </w:pPr>
      <w:r w:rsidRPr="00437DA9">
        <w:rPr>
          <w:rFonts w:ascii="Times New Roman" w:hAnsi="Times New Roman" w:cs="Times New Roman"/>
          <w:sz w:val="24"/>
          <w:szCs w:val="24"/>
        </w:rPr>
        <w:t xml:space="preserve">Ответ на эти вопросы лежит в смене самой парадигмы оценивания: от оценки как инструмента внешнего контроля и селекции к оценке как инструменту обратной связи и развития субъектности обучающегося. Такой подход согласуется с идеями </w:t>
      </w:r>
      <w:proofErr w:type="spellStart"/>
      <w:r w:rsidRPr="00437DA9">
        <w:rPr>
          <w:rFonts w:ascii="Times New Roman" w:hAnsi="Times New Roman" w:cs="Times New Roman"/>
          <w:sz w:val="24"/>
          <w:szCs w:val="24"/>
        </w:rPr>
        <w:t>безотметочного</w:t>
      </w:r>
      <w:proofErr w:type="spellEnd"/>
      <w:r w:rsidRPr="00437DA9">
        <w:rPr>
          <w:rFonts w:ascii="Times New Roman" w:hAnsi="Times New Roman" w:cs="Times New Roman"/>
          <w:sz w:val="24"/>
          <w:szCs w:val="24"/>
        </w:rPr>
        <w:t xml:space="preserve"> обучения, которые Н.А. Цветкова адаптирует к условиям дополнительного образования, подчеркивая, что «отказ от отметки не означает отказа от требовательности, но требует иных, более тонких способов фиксации достижений» [8, с. 36]. В рамках этой парадигмы оценка перестает быть приговором, вынесенным взрослым, и превращается в диалог, в процессе которого ребенок учится анализировать свои сильные и слабые стороны, ставить реалистичные цели и фиксировать даже незначительные, но значимые для него продвижения.</w:t>
      </w:r>
    </w:p>
    <w:p w14:paraId="7A9FD601" w14:textId="77777777" w:rsidR="00437DA9" w:rsidRPr="00437DA9" w:rsidRDefault="00437DA9" w:rsidP="00437DA9">
      <w:pPr>
        <w:spacing w:after="0" w:line="276" w:lineRule="auto"/>
        <w:ind w:firstLine="709"/>
        <w:jc w:val="both"/>
        <w:rPr>
          <w:rFonts w:ascii="Times New Roman" w:hAnsi="Times New Roman" w:cs="Times New Roman"/>
          <w:sz w:val="24"/>
          <w:szCs w:val="24"/>
        </w:rPr>
      </w:pPr>
      <w:r w:rsidRPr="00437DA9">
        <w:rPr>
          <w:rFonts w:ascii="Times New Roman" w:hAnsi="Times New Roman" w:cs="Times New Roman"/>
          <w:sz w:val="24"/>
          <w:szCs w:val="24"/>
        </w:rPr>
        <w:t>Практическая реализация данного подхода, по мнению В.П. Голованова, требует пересмотра традиционного инструментария оценивания и внедрения форм, которые были бы наглядны, доступны пониманию ребенка и ориентированы на фиксацию процесса, а не только конечного результата [4, с. 29]. Рассмотрим основные инструменты, которые могут быть использованы в практике дополнительного образования детей.</w:t>
      </w:r>
    </w:p>
    <w:p w14:paraId="60E1D37B" w14:textId="77777777" w:rsidR="00437DA9" w:rsidRPr="00437DA9" w:rsidRDefault="00437DA9" w:rsidP="00437DA9">
      <w:pPr>
        <w:spacing w:after="0" w:line="276" w:lineRule="auto"/>
        <w:ind w:firstLine="709"/>
        <w:jc w:val="both"/>
        <w:rPr>
          <w:rFonts w:ascii="Times New Roman" w:hAnsi="Times New Roman" w:cs="Times New Roman"/>
          <w:sz w:val="24"/>
          <w:szCs w:val="24"/>
        </w:rPr>
      </w:pPr>
      <w:r w:rsidRPr="00437DA9">
        <w:rPr>
          <w:rFonts w:ascii="Times New Roman" w:hAnsi="Times New Roman" w:cs="Times New Roman"/>
          <w:sz w:val="24"/>
          <w:szCs w:val="24"/>
        </w:rPr>
        <w:t>Первым и наиболее значимым шагом является отказ от сравнения достижений одного ребенка с достижениями других. Как обосновано в работах Л.Г. Логиновой, сравнение ученика с одногруппниками, перенесенное из школьной практики, в условиях дополнительного образования демотивирует детей, поскольку они имеют разный стартовый уровень, различный темп освоения материала и несовпадающие личные образовательные цели [5, с. 16]. Единственным педагогически целесообразным сравнением выступает сопоставление актуальных результатов обучающегося с его же предыдущими достижениями. Данный принцип положен в основу «листа самооценки» (индивидуальной карты прогресса), который становится центральным инструментом фиксации развития ребенка.</w:t>
      </w:r>
    </w:p>
    <w:p w14:paraId="527AFDE8" w14:textId="77777777" w:rsidR="00437DA9" w:rsidRPr="00437DA9" w:rsidRDefault="00437DA9" w:rsidP="00437DA9">
      <w:pPr>
        <w:spacing w:after="0" w:line="276" w:lineRule="auto"/>
        <w:ind w:firstLine="709"/>
        <w:jc w:val="both"/>
        <w:rPr>
          <w:rFonts w:ascii="Times New Roman" w:hAnsi="Times New Roman" w:cs="Times New Roman"/>
          <w:sz w:val="24"/>
          <w:szCs w:val="24"/>
        </w:rPr>
      </w:pPr>
      <w:r w:rsidRPr="00437DA9">
        <w:rPr>
          <w:rFonts w:ascii="Times New Roman" w:hAnsi="Times New Roman" w:cs="Times New Roman"/>
          <w:sz w:val="24"/>
          <w:szCs w:val="24"/>
        </w:rPr>
        <w:t>Лист самооценки представляет собой не табель успеваемости и не дневник в традиционном понимании, а визуальную дорожную карту, на которой обучающийся самостоятельно или с помощью педагога отмечает свои шаги вперед. Например, при изучении иностранного языка вместо отметки «четыре» за словарный диктант ребенок видит таблицу из десяти лексических единиц, напротив каждой из которых расположен пустой кружок. Когда обучающийся запоминает слово и может воспроизвести его без ошибок, он закрашивает соответствующий кружок в зеленый цвет. При возникновении трудностей используется желтый цвет, сигнализирующий о необходимости повторения. Ключевым педагогическим условием выступает то, что ребенок производит оценивание самостоятельно, а педагог выполняет функцию мягкой коррекции в случае расхождения самооценки с реальным уровнем владения материалом. Такой подход, как показывают исследования, существенно снижает уровень учебной тревожности и способствует формированию ответственности за собственные образовательные результаты [8, с. 37].</w:t>
      </w:r>
    </w:p>
    <w:p w14:paraId="536BA085" w14:textId="77777777" w:rsidR="00437DA9" w:rsidRPr="00437DA9" w:rsidRDefault="00437DA9" w:rsidP="00437DA9">
      <w:pPr>
        <w:spacing w:after="0" w:line="276" w:lineRule="auto"/>
        <w:ind w:firstLine="709"/>
        <w:jc w:val="both"/>
        <w:rPr>
          <w:rFonts w:ascii="Times New Roman" w:hAnsi="Times New Roman" w:cs="Times New Roman"/>
          <w:sz w:val="24"/>
          <w:szCs w:val="24"/>
        </w:rPr>
      </w:pPr>
      <w:r w:rsidRPr="00437DA9">
        <w:rPr>
          <w:rFonts w:ascii="Times New Roman" w:hAnsi="Times New Roman" w:cs="Times New Roman"/>
          <w:sz w:val="24"/>
          <w:szCs w:val="24"/>
        </w:rPr>
        <w:t>Вторым эффективным инструментом, подробно описанным в методической литературе, является «лестница навыков», или «дорожка достижений» [4, с. 30]. На листе бумаги формата А3 или А2 изображается маршрут, разделенный на небольшие последовательные отрезки, каждый из которых соответствует конкретному осваиваемому умению. В кружке робототехники такими отрезками могут быть: «научился подключать мотор к контроллеру», «научился программировать движение по прямой на 10 секунд», «научился использовать датчик цвета для остановки у линии», «собрал модель для участия в мини-соревнованиях». По мере освоения каждого навыка обучающийся получает наклейку или штамп, который перемещает его на следующий отрезок маршрута. Критически важным условием является дробление материала на малые, достижимые шаги, чтобы ребенок мог наблюдать свое продвижение каждые одно-два занятия. Данная технология, по наблюдениям практиков, работает эффективнее абстрактной словесной похвалы, поскольку предоставляет обучающемуся зримый, материализованный результат приложенных усилий [5, с. 17].</w:t>
      </w:r>
    </w:p>
    <w:p w14:paraId="62F9F617" w14:textId="77777777" w:rsidR="00437DA9" w:rsidRPr="00437DA9" w:rsidRDefault="00437DA9" w:rsidP="00437DA9">
      <w:pPr>
        <w:spacing w:after="0" w:line="276" w:lineRule="auto"/>
        <w:ind w:firstLine="709"/>
        <w:jc w:val="both"/>
        <w:rPr>
          <w:rFonts w:ascii="Times New Roman" w:hAnsi="Times New Roman" w:cs="Times New Roman"/>
          <w:sz w:val="24"/>
          <w:szCs w:val="24"/>
        </w:rPr>
      </w:pPr>
      <w:r w:rsidRPr="00437DA9">
        <w:rPr>
          <w:rFonts w:ascii="Times New Roman" w:hAnsi="Times New Roman" w:cs="Times New Roman"/>
          <w:sz w:val="24"/>
          <w:szCs w:val="24"/>
        </w:rPr>
        <w:t xml:space="preserve">Третьим необходимым компонентом системы оценивания, ориентированной на понимание ребенком собственного прогресса, выступает единая система условных обозначений, доступная всем участникам образовательных отношений — детям, родителям и педагогам. Наиболее универсальной и апробированной в практике дополнительного образования является трехцветная система, предложенная в работах по </w:t>
      </w:r>
      <w:proofErr w:type="spellStart"/>
      <w:r w:rsidRPr="00437DA9">
        <w:rPr>
          <w:rFonts w:ascii="Times New Roman" w:hAnsi="Times New Roman" w:cs="Times New Roman"/>
          <w:sz w:val="24"/>
          <w:szCs w:val="24"/>
        </w:rPr>
        <w:t>безотметочному</w:t>
      </w:r>
      <w:proofErr w:type="spellEnd"/>
      <w:r w:rsidRPr="00437DA9">
        <w:rPr>
          <w:rFonts w:ascii="Times New Roman" w:hAnsi="Times New Roman" w:cs="Times New Roman"/>
          <w:sz w:val="24"/>
          <w:szCs w:val="24"/>
        </w:rPr>
        <w:t xml:space="preserve"> обучению [8, с. 38]. Зеленый цвет означает: «я понял и могу выполнить задание самостоятельно, без подсказки». Желтый цвет фиксирует состояние: «я в целом понял, но иногда допускаю ошибки или нуждаюсь в помощи педагога». Красный цвет сигнализирует: «я пока не понял, мне требуется повторное объяснение». Принципиально важно, что в данной шкале отсутствуют оценочные суждения в бинарной оппозиции «хорошо — плохо». Обучающемуся предлагается лишь констатировать актуальное состояние своих знаний и умений, что, согласно исследованиям в области педагогической психологии, снижает страх ошибки и создает условия для спокойной, рефлексивной работы [9, с. 82]. Педагог после самостоятельного оценивания ребенком своих результатов может мягко сопоставить самооценку с объективным уровнем выполнения задания. Систематическое расхождение (как завышение, так и занижение) становится предметом отдельной педагогической работы, направленной на развитие адекватной самооценки обучающегося.</w:t>
      </w:r>
    </w:p>
    <w:p w14:paraId="2A62C026" w14:textId="77777777" w:rsidR="00437DA9" w:rsidRPr="00437DA9" w:rsidRDefault="00437DA9" w:rsidP="00437DA9">
      <w:pPr>
        <w:spacing w:after="0" w:line="276" w:lineRule="auto"/>
        <w:ind w:firstLine="709"/>
        <w:jc w:val="both"/>
        <w:rPr>
          <w:rFonts w:ascii="Times New Roman" w:hAnsi="Times New Roman" w:cs="Times New Roman"/>
          <w:sz w:val="24"/>
          <w:szCs w:val="24"/>
        </w:rPr>
      </w:pPr>
      <w:r w:rsidRPr="00437DA9">
        <w:rPr>
          <w:rFonts w:ascii="Times New Roman" w:hAnsi="Times New Roman" w:cs="Times New Roman"/>
          <w:sz w:val="24"/>
          <w:szCs w:val="24"/>
        </w:rPr>
        <w:t>Для детей подросткового возраста, для которых цветовые обозначения и смайлики могут восприниматься как инфантильные, рекомендуются более формализованные, но сохраняющие ту же логику варианты. К ним относятся пиктографические системы (галочка — задание выполнено, вопросительный знак — материал требует повторения, звездочка — результат превысил ожидания самого ученика) или накопительные рейтинговые системы. В последнем случае баллы начисляются не только за безупречный результат, но и за процессуальные аспекты деятельности: проявление настойчивости при решении трудной задачи, оказание помощи одногруппнику, предложение нестандартного творческого решения, инициативность. Накопленные баллы, как рекомендует Л.Г. Логинова, могут быть обменены на символические привилегии: право выбора темы следующего проекта, освобождение от одного из рутинных заданий или получение небольшого поощрительного приза [5, с. 18]. Такая система стимулирует широкий спектр образовательной активности, а не только достижение безупречного, но часто недостижимого для многих детей результата.</w:t>
      </w:r>
    </w:p>
    <w:p w14:paraId="29724BF2" w14:textId="77777777" w:rsidR="00437DA9" w:rsidRPr="00437DA9" w:rsidRDefault="00437DA9" w:rsidP="00437DA9">
      <w:pPr>
        <w:spacing w:after="0" w:line="276" w:lineRule="auto"/>
        <w:ind w:firstLine="709"/>
        <w:jc w:val="both"/>
        <w:rPr>
          <w:rFonts w:ascii="Times New Roman" w:hAnsi="Times New Roman" w:cs="Times New Roman"/>
          <w:sz w:val="24"/>
          <w:szCs w:val="24"/>
        </w:rPr>
      </w:pPr>
      <w:r w:rsidRPr="00437DA9">
        <w:rPr>
          <w:rFonts w:ascii="Times New Roman" w:hAnsi="Times New Roman" w:cs="Times New Roman"/>
          <w:sz w:val="24"/>
          <w:szCs w:val="24"/>
        </w:rPr>
        <w:t>Однако успешное внедрение описанных инструментов невозможно без предварительной методической подготовки педагогов и разъяснительной работы с родителями. Как справедливо отмечает В.П. Голованов, «смена оценочной парадигмы требует смены профессиональных установок педагога, что достигается через систему обучающих семинаров и практикумов» [4, с. 31]. Методисту рекомендуется организовать серию занятий, в ходе которых педагоги сами выступают в роли обучающихся: осваивают новый для себя навык (например, работу в незнакомой цифровой среде) и параллельно заполняют листы самооценки, фиксируя собственные эмоциональные состояния и трудности. Проживание этого опыта позволяет взрослым лучше понять психологическое состояние ребенка и в дальнейшем грамотно использовать инструменты формирующего оценивания в своей практике.</w:t>
      </w:r>
    </w:p>
    <w:p w14:paraId="20D84A19" w14:textId="77777777" w:rsidR="00437DA9" w:rsidRPr="00437DA9" w:rsidRDefault="00437DA9" w:rsidP="00437DA9">
      <w:pPr>
        <w:spacing w:after="0" w:line="276" w:lineRule="auto"/>
        <w:ind w:firstLine="709"/>
        <w:jc w:val="both"/>
        <w:rPr>
          <w:rFonts w:ascii="Times New Roman" w:hAnsi="Times New Roman" w:cs="Times New Roman"/>
          <w:sz w:val="24"/>
          <w:szCs w:val="24"/>
        </w:rPr>
      </w:pPr>
      <w:r w:rsidRPr="00437DA9">
        <w:rPr>
          <w:rFonts w:ascii="Times New Roman" w:hAnsi="Times New Roman" w:cs="Times New Roman"/>
          <w:sz w:val="24"/>
          <w:szCs w:val="24"/>
        </w:rPr>
        <w:t xml:space="preserve">Взаимодействие с родителями требует подготовки специальных информационных материалов. Как подчеркивает Т.П. Скрипкина, «доверие родителей к образовательной системе напрямую зависит от прозрачности критериев, по которым оцениваются достижения их детей» [9, с. 95]. Родителям необходимо представить памятку-расшифровку, в которой на конкретных примерах показано значение каждого цвета, значка или уровня накопительной системы, а также аргументировано, почему отказ от традиционных отметок не означает снижения требований, а, напротив, предполагает более внимательное, индивидуализированное отношение к образовательным результатам ребенка. На родительском собрании целесообразно продемонстрировать (с соблюдением этических норм и с согласия семей) примеры заполненных листов самооценки и предложить родителям определить, в каких темах у обучающегося наблюдается прогресс, а где сохраняются трудности. Опыт показывает, что после такого практического упражнения скепсис в отношении </w:t>
      </w:r>
      <w:proofErr w:type="spellStart"/>
      <w:r w:rsidRPr="00437DA9">
        <w:rPr>
          <w:rFonts w:ascii="Times New Roman" w:hAnsi="Times New Roman" w:cs="Times New Roman"/>
          <w:sz w:val="24"/>
          <w:szCs w:val="24"/>
        </w:rPr>
        <w:t>безотметочных</w:t>
      </w:r>
      <w:proofErr w:type="spellEnd"/>
      <w:r w:rsidRPr="00437DA9">
        <w:rPr>
          <w:rFonts w:ascii="Times New Roman" w:hAnsi="Times New Roman" w:cs="Times New Roman"/>
          <w:sz w:val="24"/>
          <w:szCs w:val="24"/>
        </w:rPr>
        <w:t xml:space="preserve"> систем существенно снижается, поскольку родители воочию убеждаются, что лист самооценки дает значительно больше информации о реальных достижениях ребенка, чем одна общая отметка в четверти [8, с. 39].</w:t>
      </w:r>
    </w:p>
    <w:p w14:paraId="12B1DEA3" w14:textId="210AEF6C" w:rsidR="00437DA9" w:rsidRPr="00437DA9" w:rsidRDefault="00437DA9" w:rsidP="00437DA9">
      <w:pPr>
        <w:spacing w:after="0" w:line="276" w:lineRule="auto"/>
        <w:ind w:firstLine="709"/>
        <w:jc w:val="both"/>
        <w:rPr>
          <w:rFonts w:ascii="Times New Roman" w:hAnsi="Times New Roman" w:cs="Times New Roman"/>
          <w:sz w:val="24"/>
          <w:szCs w:val="24"/>
        </w:rPr>
      </w:pPr>
      <w:r w:rsidRPr="00437DA9">
        <w:rPr>
          <w:rFonts w:ascii="Times New Roman" w:hAnsi="Times New Roman" w:cs="Times New Roman"/>
          <w:sz w:val="24"/>
          <w:szCs w:val="24"/>
        </w:rPr>
        <w:t>Резюмируя изложенное, следует подчеркнуть, что переход от традиционной, «школьной» модели оценивания к модели, ориентированной на фиксацию индивидуального прогресса, не является упрощением требований или отказом от контроля. Напротив, как справедливо заключает Н.А. Цветкова, «</w:t>
      </w:r>
      <w:proofErr w:type="spellStart"/>
      <w:r w:rsidRPr="00437DA9">
        <w:rPr>
          <w:rFonts w:ascii="Times New Roman" w:hAnsi="Times New Roman" w:cs="Times New Roman"/>
          <w:sz w:val="24"/>
          <w:szCs w:val="24"/>
        </w:rPr>
        <w:t>безотметочное</w:t>
      </w:r>
      <w:proofErr w:type="spellEnd"/>
      <w:r w:rsidRPr="00437DA9">
        <w:rPr>
          <w:rFonts w:ascii="Times New Roman" w:hAnsi="Times New Roman" w:cs="Times New Roman"/>
          <w:sz w:val="24"/>
          <w:szCs w:val="24"/>
        </w:rPr>
        <w:t xml:space="preserve"> обучение требует от педагога более высокой квалификации, поскольку вместо формального выставления баллов ему необходимо проводить тонкую аналитическую работу по выявлению зон ближайшего развития каждого ученика» [8, с. 40]. Такая оценка перестает выполнять преимущественно селективную функцию и становится инструментом развития — именно тем, что исторически декларируется дополнительным образованием, но что до сих пор редко реализуется в массовой практике. Цветные кружки, дорожки достижений, накопительные баллы и листы самооценки — это не игра и не попустительство, а осознанный методический выбор в пользу наглядности, редукции тревожности и формирования у обучающегося субъектной позиции в отношении собственного учения. Ребенок, который самостоятельно фиксирует свои успехи («сегодня я закрасил два новых кружка зеленым»), видит траекторию своего движения («еще неделю назад я был на третьей ступеньке, а сегодня — на пятой») и осознает ответственность за результат («если я не выучил слова, кружок останется желтым — это зависит только от меня»), никогда не скажет «я ничего не умею» и в большинстве случаев не покинет объединение по интересам из-за чувства собственной несостоятельности. Именно в этом, на наш взгляд, заключается главный ответ на вопрос, поставленный в заглавии статьи: как оценивать результаты обучения в дополнительном образовании так, чтобы ребенок понимал и чувствовал свой прогресс.</w:t>
      </w:r>
    </w:p>
    <w:p w14:paraId="4CB6D0E1" w14:textId="77777777" w:rsidR="00437DA9" w:rsidRPr="00437DA9" w:rsidRDefault="00437DA9" w:rsidP="00437DA9">
      <w:pPr>
        <w:spacing w:before="120" w:after="120" w:line="276" w:lineRule="auto"/>
        <w:jc w:val="center"/>
        <w:rPr>
          <w:rFonts w:ascii="Times New Roman" w:hAnsi="Times New Roman" w:cs="Times New Roman"/>
          <w:sz w:val="24"/>
          <w:szCs w:val="24"/>
        </w:rPr>
      </w:pPr>
      <w:r w:rsidRPr="00437DA9">
        <w:rPr>
          <w:rFonts w:ascii="Times New Roman" w:hAnsi="Times New Roman" w:cs="Times New Roman"/>
          <w:b/>
          <w:bCs/>
          <w:sz w:val="24"/>
          <w:szCs w:val="24"/>
        </w:rPr>
        <w:t>Список использованных источников</w:t>
      </w:r>
    </w:p>
    <w:p w14:paraId="2505CFCA" w14:textId="77777777" w:rsidR="00437DA9" w:rsidRPr="00437DA9" w:rsidRDefault="00437DA9" w:rsidP="00437DA9">
      <w:pPr>
        <w:numPr>
          <w:ilvl w:val="0"/>
          <w:numId w:val="1"/>
        </w:numPr>
        <w:tabs>
          <w:tab w:val="num" w:pos="720"/>
        </w:tabs>
        <w:spacing w:after="0" w:line="276" w:lineRule="auto"/>
        <w:ind w:left="0" w:firstLine="709"/>
        <w:jc w:val="both"/>
        <w:rPr>
          <w:rFonts w:ascii="Times New Roman" w:hAnsi="Times New Roman" w:cs="Times New Roman"/>
          <w:sz w:val="24"/>
          <w:szCs w:val="24"/>
        </w:rPr>
      </w:pPr>
      <w:r w:rsidRPr="00437DA9">
        <w:rPr>
          <w:rFonts w:ascii="Times New Roman" w:hAnsi="Times New Roman" w:cs="Times New Roman"/>
          <w:sz w:val="24"/>
          <w:szCs w:val="24"/>
        </w:rPr>
        <w:t>Асмолов А. Г. Дополнительное образование как зона ближайшего развития образования в России: от традиционной педагогики к педагогике развития / А. Г. Асмолов // Внешкольник. – 2017. – № 3. – С. 6–9.</w:t>
      </w:r>
    </w:p>
    <w:p w14:paraId="6B013A2B" w14:textId="6A1572C7" w:rsidR="00437DA9" w:rsidRPr="00437DA9" w:rsidRDefault="00437DA9" w:rsidP="00437DA9">
      <w:pPr>
        <w:numPr>
          <w:ilvl w:val="0"/>
          <w:numId w:val="1"/>
        </w:numPr>
        <w:tabs>
          <w:tab w:val="num" w:pos="720"/>
        </w:tabs>
        <w:spacing w:after="0" w:line="276" w:lineRule="auto"/>
        <w:ind w:left="0" w:firstLine="709"/>
        <w:jc w:val="both"/>
        <w:rPr>
          <w:rFonts w:ascii="Times New Roman" w:hAnsi="Times New Roman" w:cs="Times New Roman"/>
          <w:sz w:val="24"/>
          <w:szCs w:val="24"/>
        </w:rPr>
      </w:pPr>
      <w:r w:rsidRPr="00437DA9">
        <w:rPr>
          <w:rFonts w:ascii="Times New Roman" w:hAnsi="Times New Roman" w:cs="Times New Roman"/>
          <w:sz w:val="24"/>
          <w:szCs w:val="24"/>
        </w:rPr>
        <w:t xml:space="preserve">Бессон Л. Люси [Видеозапись]: научно-фантастический боевик / </w:t>
      </w:r>
      <w:proofErr w:type="spellStart"/>
      <w:r w:rsidRPr="00437DA9">
        <w:rPr>
          <w:rFonts w:ascii="Times New Roman" w:hAnsi="Times New Roman" w:cs="Times New Roman"/>
          <w:sz w:val="24"/>
          <w:szCs w:val="24"/>
        </w:rPr>
        <w:t>реж</w:t>
      </w:r>
      <w:proofErr w:type="spellEnd"/>
      <w:r w:rsidRPr="00437DA9">
        <w:rPr>
          <w:rFonts w:ascii="Times New Roman" w:hAnsi="Times New Roman" w:cs="Times New Roman"/>
          <w:sz w:val="24"/>
          <w:szCs w:val="24"/>
        </w:rPr>
        <w:t xml:space="preserve">. Л. Бессон. – Франция: </w:t>
      </w:r>
      <w:proofErr w:type="spellStart"/>
      <w:r w:rsidRPr="00437DA9">
        <w:rPr>
          <w:rFonts w:ascii="Times New Roman" w:hAnsi="Times New Roman" w:cs="Times New Roman"/>
          <w:sz w:val="24"/>
          <w:szCs w:val="24"/>
        </w:rPr>
        <w:t>EuropaCorp</w:t>
      </w:r>
      <w:proofErr w:type="spellEnd"/>
      <w:r w:rsidRPr="00437DA9">
        <w:rPr>
          <w:rFonts w:ascii="Times New Roman" w:hAnsi="Times New Roman" w:cs="Times New Roman"/>
          <w:sz w:val="24"/>
          <w:szCs w:val="24"/>
        </w:rPr>
        <w:t>, 2014. – Цитируется по русскому дубляжу.</w:t>
      </w:r>
    </w:p>
    <w:p w14:paraId="29216FE5" w14:textId="77777777" w:rsidR="00437DA9" w:rsidRPr="00437DA9" w:rsidRDefault="00437DA9" w:rsidP="00437DA9">
      <w:pPr>
        <w:numPr>
          <w:ilvl w:val="0"/>
          <w:numId w:val="1"/>
        </w:numPr>
        <w:tabs>
          <w:tab w:val="num" w:pos="720"/>
        </w:tabs>
        <w:spacing w:after="0" w:line="276" w:lineRule="auto"/>
        <w:ind w:left="0" w:firstLine="709"/>
        <w:jc w:val="both"/>
        <w:rPr>
          <w:rFonts w:ascii="Times New Roman" w:hAnsi="Times New Roman" w:cs="Times New Roman"/>
          <w:sz w:val="24"/>
          <w:szCs w:val="24"/>
        </w:rPr>
      </w:pPr>
      <w:r w:rsidRPr="00437DA9">
        <w:rPr>
          <w:rFonts w:ascii="Times New Roman" w:hAnsi="Times New Roman" w:cs="Times New Roman"/>
          <w:sz w:val="24"/>
          <w:szCs w:val="24"/>
        </w:rPr>
        <w:t>Голованов В. П. Современные подходы к оценке качества дополнительного образования детей / В. П. Голованов // Научно-методическое обеспечение оценки качества образования. – 2019. – № 2. – С. 24–32.</w:t>
      </w:r>
    </w:p>
    <w:p w14:paraId="02CE69CE" w14:textId="77777777" w:rsidR="00437DA9" w:rsidRPr="00437DA9" w:rsidRDefault="00437DA9" w:rsidP="00437DA9">
      <w:pPr>
        <w:numPr>
          <w:ilvl w:val="0"/>
          <w:numId w:val="1"/>
        </w:numPr>
        <w:tabs>
          <w:tab w:val="num" w:pos="720"/>
        </w:tabs>
        <w:spacing w:after="0" w:line="276" w:lineRule="auto"/>
        <w:ind w:left="0" w:firstLine="709"/>
        <w:jc w:val="both"/>
        <w:rPr>
          <w:rFonts w:ascii="Times New Roman" w:hAnsi="Times New Roman" w:cs="Times New Roman"/>
          <w:sz w:val="24"/>
          <w:szCs w:val="24"/>
        </w:rPr>
      </w:pPr>
      <w:r w:rsidRPr="00437DA9">
        <w:rPr>
          <w:rFonts w:ascii="Times New Roman" w:hAnsi="Times New Roman" w:cs="Times New Roman"/>
          <w:sz w:val="24"/>
          <w:szCs w:val="24"/>
        </w:rPr>
        <w:t>Логинова Л. Г. Мониторинг качества дополнительного образования: от отчетности к развитию / Л. Г. Логинова // Дополнительное образование и воспитание. – 2019. – № 6. – С. 10–17.</w:t>
      </w:r>
    </w:p>
    <w:p w14:paraId="43BDAD7F" w14:textId="77777777" w:rsidR="00437DA9" w:rsidRPr="00437DA9" w:rsidRDefault="00437DA9" w:rsidP="00437DA9">
      <w:pPr>
        <w:numPr>
          <w:ilvl w:val="0"/>
          <w:numId w:val="1"/>
        </w:numPr>
        <w:tabs>
          <w:tab w:val="num" w:pos="720"/>
        </w:tabs>
        <w:spacing w:after="0" w:line="276" w:lineRule="auto"/>
        <w:ind w:left="0" w:firstLine="709"/>
        <w:jc w:val="both"/>
        <w:rPr>
          <w:rFonts w:ascii="Times New Roman" w:hAnsi="Times New Roman" w:cs="Times New Roman"/>
          <w:sz w:val="24"/>
          <w:szCs w:val="24"/>
        </w:rPr>
      </w:pPr>
      <w:r w:rsidRPr="00437DA9">
        <w:rPr>
          <w:rFonts w:ascii="Times New Roman" w:hAnsi="Times New Roman" w:cs="Times New Roman"/>
          <w:sz w:val="24"/>
          <w:szCs w:val="24"/>
        </w:rPr>
        <w:t>Логинова Л. Г. Оценка качества дополнительного образования детей: методология и инструментарий / Л. Г. Логинова // Стандарты и мониторинг в образовании. – 2020. – № 5. – С. 12–19.</w:t>
      </w:r>
    </w:p>
    <w:p w14:paraId="5EB5BAAD" w14:textId="3D5B13DA" w:rsidR="00437DA9" w:rsidRPr="00437DA9" w:rsidRDefault="00437DA9" w:rsidP="00437DA9">
      <w:pPr>
        <w:numPr>
          <w:ilvl w:val="0"/>
          <w:numId w:val="1"/>
        </w:numPr>
        <w:tabs>
          <w:tab w:val="num" w:pos="720"/>
        </w:tabs>
        <w:spacing w:after="0" w:line="276" w:lineRule="auto"/>
        <w:ind w:left="0" w:firstLine="709"/>
        <w:jc w:val="both"/>
        <w:rPr>
          <w:rFonts w:ascii="Times New Roman" w:hAnsi="Times New Roman" w:cs="Times New Roman"/>
          <w:sz w:val="24"/>
          <w:szCs w:val="24"/>
        </w:rPr>
      </w:pPr>
      <w:r w:rsidRPr="00437DA9">
        <w:rPr>
          <w:rFonts w:ascii="Times New Roman" w:hAnsi="Times New Roman" w:cs="Times New Roman"/>
          <w:sz w:val="24"/>
          <w:szCs w:val="24"/>
        </w:rPr>
        <w:t>Скрипкина Т. П. Психология доверия в педагогическом взаимодействии: монография / Т. П. Скрипкина. – Москва: Издательство Московского психолого-социального института, 2018. – 248 с. – ISBN 978-5-9770-0987-2.</w:t>
      </w:r>
    </w:p>
    <w:p w14:paraId="7CC77202" w14:textId="282F65A4" w:rsidR="00437DA9" w:rsidRPr="00437DA9" w:rsidRDefault="00437DA9" w:rsidP="00437DA9">
      <w:pPr>
        <w:numPr>
          <w:ilvl w:val="0"/>
          <w:numId w:val="1"/>
        </w:numPr>
        <w:tabs>
          <w:tab w:val="num" w:pos="720"/>
        </w:tabs>
        <w:spacing w:after="0" w:line="276" w:lineRule="auto"/>
        <w:ind w:left="0" w:firstLine="709"/>
        <w:jc w:val="both"/>
        <w:rPr>
          <w:rFonts w:ascii="Times New Roman" w:hAnsi="Times New Roman" w:cs="Times New Roman"/>
          <w:sz w:val="24"/>
          <w:szCs w:val="24"/>
        </w:rPr>
      </w:pPr>
      <w:r w:rsidRPr="00437DA9">
        <w:rPr>
          <w:rFonts w:ascii="Times New Roman" w:hAnsi="Times New Roman" w:cs="Times New Roman"/>
          <w:sz w:val="24"/>
          <w:szCs w:val="24"/>
        </w:rPr>
        <w:t>Танич М. И. Тексты песен [Электронный ресурс]: сборник поэтических текстов. – Режим доступа: по тексту цитаты (общее культурное достояние). – Дата обращения: 21.05.2026.</w:t>
      </w:r>
    </w:p>
    <w:p w14:paraId="0A6DBDE7" w14:textId="53E11B4D" w:rsidR="00437DA9" w:rsidRPr="00437DA9" w:rsidRDefault="00437DA9" w:rsidP="00437DA9">
      <w:pPr>
        <w:numPr>
          <w:ilvl w:val="0"/>
          <w:numId w:val="1"/>
        </w:numPr>
        <w:tabs>
          <w:tab w:val="num" w:pos="720"/>
        </w:tabs>
        <w:spacing w:after="0" w:line="276" w:lineRule="auto"/>
        <w:ind w:left="0" w:firstLine="709"/>
        <w:jc w:val="both"/>
        <w:rPr>
          <w:rFonts w:ascii="Times New Roman" w:hAnsi="Times New Roman" w:cs="Times New Roman"/>
          <w:sz w:val="24"/>
          <w:szCs w:val="24"/>
        </w:rPr>
      </w:pPr>
      <w:r w:rsidRPr="00437DA9">
        <w:rPr>
          <w:rFonts w:ascii="Times New Roman" w:hAnsi="Times New Roman" w:cs="Times New Roman"/>
          <w:sz w:val="24"/>
          <w:szCs w:val="24"/>
        </w:rPr>
        <w:t>Федеральный закон «Об образовании в Российской Федерации» от 29.12.2012 № 273-ФЗ (ред. от 17.02.2023): принят Государственной Думой 21.12.2012: одобрен Советом Федерации 26.12.2012. – Статьи 2, 75. – С. 110–115.</w:t>
      </w:r>
    </w:p>
    <w:p w14:paraId="2F1AEE1B" w14:textId="77777777" w:rsidR="00437DA9" w:rsidRPr="00437DA9" w:rsidRDefault="00437DA9" w:rsidP="00437DA9">
      <w:pPr>
        <w:numPr>
          <w:ilvl w:val="0"/>
          <w:numId w:val="1"/>
        </w:numPr>
        <w:tabs>
          <w:tab w:val="num" w:pos="720"/>
        </w:tabs>
        <w:spacing w:after="0" w:line="276" w:lineRule="auto"/>
        <w:ind w:left="0" w:firstLine="709"/>
        <w:jc w:val="both"/>
        <w:rPr>
          <w:rFonts w:ascii="Times New Roman" w:hAnsi="Times New Roman" w:cs="Times New Roman"/>
          <w:sz w:val="24"/>
          <w:szCs w:val="24"/>
        </w:rPr>
      </w:pPr>
      <w:r w:rsidRPr="00437DA9">
        <w:rPr>
          <w:rFonts w:ascii="Times New Roman" w:hAnsi="Times New Roman" w:cs="Times New Roman"/>
          <w:sz w:val="24"/>
          <w:szCs w:val="24"/>
        </w:rPr>
        <w:t xml:space="preserve">Цветкова Н. А. </w:t>
      </w:r>
      <w:proofErr w:type="spellStart"/>
      <w:r w:rsidRPr="00437DA9">
        <w:rPr>
          <w:rFonts w:ascii="Times New Roman" w:hAnsi="Times New Roman" w:cs="Times New Roman"/>
          <w:sz w:val="24"/>
          <w:szCs w:val="24"/>
        </w:rPr>
        <w:t>Безотметочное</w:t>
      </w:r>
      <w:proofErr w:type="spellEnd"/>
      <w:r w:rsidRPr="00437DA9">
        <w:rPr>
          <w:rFonts w:ascii="Times New Roman" w:hAnsi="Times New Roman" w:cs="Times New Roman"/>
          <w:sz w:val="24"/>
          <w:szCs w:val="24"/>
        </w:rPr>
        <w:t xml:space="preserve"> обучение в дополнительном образовании: возможности и риски / Н. А. Цветкова // Воспитание и дополнительное образование. – 2021. – № 4. – С. 33–40.</w:t>
      </w:r>
    </w:p>
    <w:p w14:paraId="34B98DA4" w14:textId="77777777" w:rsidR="00437DA9" w:rsidRPr="00437DA9" w:rsidRDefault="00437DA9" w:rsidP="00437DA9">
      <w:pPr>
        <w:spacing w:after="0" w:line="276" w:lineRule="auto"/>
        <w:ind w:firstLine="709"/>
        <w:jc w:val="both"/>
        <w:rPr>
          <w:rFonts w:ascii="Times New Roman" w:hAnsi="Times New Roman" w:cs="Times New Roman"/>
          <w:sz w:val="24"/>
          <w:szCs w:val="24"/>
        </w:rPr>
      </w:pPr>
    </w:p>
    <w:sectPr w:rsidR="00437DA9" w:rsidRPr="00437DA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A2E76"/>
    <w:multiLevelType w:val="multilevel"/>
    <w:tmpl w:val="27566556"/>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2141726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638"/>
    <w:rsid w:val="000528BF"/>
    <w:rsid w:val="00093398"/>
    <w:rsid w:val="001A04E5"/>
    <w:rsid w:val="00307EC8"/>
    <w:rsid w:val="0039001B"/>
    <w:rsid w:val="004144D2"/>
    <w:rsid w:val="00437DA9"/>
    <w:rsid w:val="008959F8"/>
    <w:rsid w:val="00A40BDC"/>
    <w:rsid w:val="00B34178"/>
    <w:rsid w:val="00C1663E"/>
    <w:rsid w:val="00C5491B"/>
    <w:rsid w:val="00D02D5A"/>
    <w:rsid w:val="00DC2849"/>
    <w:rsid w:val="00DE1E63"/>
    <w:rsid w:val="00E857EE"/>
    <w:rsid w:val="00EF3638"/>
    <w:rsid w:val="00F83E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E8D0F"/>
  <w15:chartTrackingRefBased/>
  <w15:docId w15:val="{FE201FE6-E380-4F44-98A3-AC08C0B2B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E1E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0528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F363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F363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F363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F363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F363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F363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F363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одзаг программы"/>
    <w:basedOn w:val="a4"/>
    <w:qFormat/>
    <w:rsid w:val="008959F8"/>
    <w:pPr>
      <w:spacing w:after="120" w:line="240" w:lineRule="auto"/>
      <w:ind w:firstLine="709"/>
    </w:pPr>
    <w:rPr>
      <w:rFonts w:ascii="Times New Roman" w:eastAsiaTheme="minorEastAsia" w:hAnsi="Times New Roman" w:cs="Times New Roman"/>
      <w:b/>
      <w:bCs/>
      <w:color w:val="auto"/>
      <w:spacing w:val="0"/>
      <w:kern w:val="0"/>
      <w:sz w:val="24"/>
      <w:szCs w:val="24"/>
      <w14:ligatures w14:val="none"/>
    </w:rPr>
  </w:style>
  <w:style w:type="paragraph" w:styleId="a4">
    <w:name w:val="Subtitle"/>
    <w:basedOn w:val="a"/>
    <w:next w:val="a"/>
    <w:link w:val="a5"/>
    <w:uiPriority w:val="11"/>
    <w:qFormat/>
    <w:rsid w:val="008959F8"/>
    <w:pPr>
      <w:numPr>
        <w:ilvl w:val="1"/>
      </w:numPr>
    </w:pPr>
    <w:rPr>
      <w:rFonts w:eastAsiaTheme="majorEastAsia" w:cstheme="majorBidi"/>
      <w:color w:val="595959" w:themeColor="text1" w:themeTint="A6"/>
      <w:spacing w:val="15"/>
      <w:sz w:val="28"/>
      <w:szCs w:val="28"/>
    </w:rPr>
  </w:style>
  <w:style w:type="character" w:customStyle="1" w:styleId="a5">
    <w:name w:val="Подзаголовок Знак"/>
    <w:basedOn w:val="a0"/>
    <w:link w:val="a4"/>
    <w:uiPriority w:val="11"/>
    <w:rsid w:val="008959F8"/>
    <w:rPr>
      <w:rFonts w:eastAsiaTheme="majorEastAsia" w:cstheme="majorBidi"/>
      <w:color w:val="595959" w:themeColor="text1" w:themeTint="A6"/>
      <w:spacing w:val="15"/>
      <w:sz w:val="28"/>
      <w:szCs w:val="28"/>
    </w:rPr>
  </w:style>
  <w:style w:type="paragraph" w:customStyle="1" w:styleId="a6">
    <w:name w:val="Стиль МР подзаголовки"/>
    <w:basedOn w:val="a4"/>
    <w:link w:val="a7"/>
    <w:qFormat/>
    <w:rsid w:val="008959F8"/>
    <w:pPr>
      <w:numPr>
        <w:ilvl w:val="0"/>
      </w:numPr>
      <w:spacing w:after="120" w:line="240" w:lineRule="auto"/>
      <w:ind w:firstLine="709"/>
      <w:jc w:val="both"/>
      <w:outlineLvl w:val="1"/>
    </w:pPr>
    <w:rPr>
      <w:rFonts w:ascii="Calibri Light" w:eastAsia="Times New Roman" w:hAnsi="Calibri Light" w:cs="Times New Roman"/>
      <w:b/>
      <w:bCs/>
      <w:color w:val="auto"/>
      <w:spacing w:val="0"/>
      <w:sz w:val="24"/>
      <w:szCs w:val="24"/>
    </w:rPr>
  </w:style>
  <w:style w:type="character" w:customStyle="1" w:styleId="a7">
    <w:name w:val="Стиль МР подзаголовки Знак"/>
    <w:link w:val="a6"/>
    <w:rsid w:val="008959F8"/>
    <w:rPr>
      <w:rFonts w:ascii="Calibri Light" w:eastAsia="Times New Roman" w:hAnsi="Calibri Light" w:cs="Times New Roman"/>
      <w:b/>
      <w:bCs/>
      <w:sz w:val="24"/>
      <w:szCs w:val="24"/>
    </w:rPr>
  </w:style>
  <w:style w:type="paragraph" w:customStyle="1" w:styleId="a8">
    <w:name w:val="З"/>
    <w:basedOn w:val="1"/>
    <w:link w:val="a9"/>
    <w:qFormat/>
    <w:rsid w:val="00DE1E63"/>
    <w:pPr>
      <w:spacing w:before="0" w:after="120" w:line="240" w:lineRule="auto"/>
      <w:jc w:val="center"/>
    </w:pPr>
    <w:rPr>
      <w:rFonts w:ascii="Times New Roman" w:eastAsia="Calibri" w:hAnsi="Times New Roman" w:cs="Times New Roman"/>
      <w:b/>
      <w:bCs/>
      <w:sz w:val="28"/>
      <w:szCs w:val="28"/>
    </w:rPr>
  </w:style>
  <w:style w:type="character" w:customStyle="1" w:styleId="a9">
    <w:name w:val="З Знак"/>
    <w:basedOn w:val="10"/>
    <w:link w:val="a8"/>
    <w:rsid w:val="00DE1E63"/>
    <w:rPr>
      <w:rFonts w:ascii="Times New Roman" w:eastAsia="Calibri" w:hAnsi="Times New Roman" w:cs="Times New Roman"/>
      <w:b/>
      <w:bCs/>
      <w:color w:val="2F5496" w:themeColor="accent1" w:themeShade="BF"/>
      <w:sz w:val="28"/>
      <w:szCs w:val="28"/>
    </w:rPr>
  </w:style>
  <w:style w:type="paragraph" w:customStyle="1" w:styleId="aa">
    <w:name w:val="ПЗ"/>
    <w:basedOn w:val="2"/>
    <w:link w:val="ab"/>
    <w:qFormat/>
    <w:rsid w:val="00E857EE"/>
    <w:pPr>
      <w:spacing w:before="120" w:after="120" w:line="240" w:lineRule="auto"/>
    </w:pPr>
    <w:rPr>
      <w:rFonts w:ascii="Times New Roman" w:eastAsia="Times New Roman" w:hAnsi="Times New Roman" w:cs="Times New Roman"/>
      <w:b/>
      <w:bCs/>
      <w:sz w:val="24"/>
      <w:szCs w:val="24"/>
      <w:lang w:eastAsia="ru-RU"/>
    </w:rPr>
  </w:style>
  <w:style w:type="character" w:customStyle="1" w:styleId="ab">
    <w:name w:val="ПЗ Знак"/>
    <w:basedOn w:val="20"/>
    <w:link w:val="aa"/>
    <w:rsid w:val="00E857EE"/>
    <w:rPr>
      <w:rFonts w:ascii="Times New Roman" w:eastAsia="Times New Roman" w:hAnsi="Times New Roman" w:cs="Times New Roman"/>
      <w:b/>
      <w:bCs/>
      <w:color w:val="2F5496" w:themeColor="accent1" w:themeShade="BF"/>
      <w:sz w:val="24"/>
      <w:szCs w:val="24"/>
      <w:lang w:eastAsia="ru-RU"/>
    </w:rPr>
  </w:style>
  <w:style w:type="character" w:customStyle="1" w:styleId="20">
    <w:name w:val="Заголовок 2 Знак"/>
    <w:basedOn w:val="a0"/>
    <w:link w:val="2"/>
    <w:uiPriority w:val="9"/>
    <w:semiHidden/>
    <w:rsid w:val="000528BF"/>
    <w:rPr>
      <w:rFonts w:asciiTheme="majorHAnsi" w:eastAsiaTheme="majorEastAsia" w:hAnsiTheme="majorHAnsi" w:cstheme="majorBidi"/>
      <w:color w:val="2F5496" w:themeColor="accent1" w:themeShade="BF"/>
      <w:sz w:val="32"/>
      <w:szCs w:val="32"/>
    </w:rPr>
  </w:style>
  <w:style w:type="character" w:customStyle="1" w:styleId="10">
    <w:name w:val="Заголовок 1 Знак"/>
    <w:basedOn w:val="a0"/>
    <w:link w:val="1"/>
    <w:uiPriority w:val="9"/>
    <w:rsid w:val="00DE1E63"/>
    <w:rPr>
      <w:rFonts w:asciiTheme="majorHAnsi" w:eastAsiaTheme="majorEastAsia" w:hAnsiTheme="majorHAnsi" w:cstheme="majorBidi"/>
      <w:color w:val="2F5496" w:themeColor="accent1" w:themeShade="BF"/>
      <w:sz w:val="40"/>
      <w:szCs w:val="40"/>
    </w:rPr>
  </w:style>
  <w:style w:type="character" w:customStyle="1" w:styleId="30">
    <w:name w:val="Заголовок 3 Знак"/>
    <w:basedOn w:val="a0"/>
    <w:link w:val="3"/>
    <w:uiPriority w:val="9"/>
    <w:semiHidden/>
    <w:rsid w:val="00EF363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F363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F363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F363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F3638"/>
    <w:rPr>
      <w:rFonts w:eastAsiaTheme="majorEastAsia" w:cstheme="majorBidi"/>
      <w:color w:val="595959" w:themeColor="text1" w:themeTint="A6"/>
    </w:rPr>
  </w:style>
  <w:style w:type="character" w:customStyle="1" w:styleId="80">
    <w:name w:val="Заголовок 8 Знак"/>
    <w:basedOn w:val="a0"/>
    <w:link w:val="8"/>
    <w:uiPriority w:val="9"/>
    <w:semiHidden/>
    <w:rsid w:val="00EF363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F3638"/>
    <w:rPr>
      <w:rFonts w:eastAsiaTheme="majorEastAsia" w:cstheme="majorBidi"/>
      <w:color w:val="272727" w:themeColor="text1" w:themeTint="D8"/>
    </w:rPr>
  </w:style>
  <w:style w:type="paragraph" w:styleId="ac">
    <w:name w:val="Title"/>
    <w:basedOn w:val="a"/>
    <w:next w:val="a"/>
    <w:link w:val="ad"/>
    <w:uiPriority w:val="10"/>
    <w:qFormat/>
    <w:rsid w:val="00EF36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d">
    <w:name w:val="Заголовок Знак"/>
    <w:basedOn w:val="a0"/>
    <w:link w:val="ac"/>
    <w:uiPriority w:val="10"/>
    <w:rsid w:val="00EF3638"/>
    <w:rPr>
      <w:rFonts w:asciiTheme="majorHAnsi" w:eastAsiaTheme="majorEastAsia" w:hAnsiTheme="majorHAnsi" w:cstheme="majorBidi"/>
      <w:spacing w:val="-10"/>
      <w:kern w:val="28"/>
      <w:sz w:val="56"/>
      <w:szCs w:val="56"/>
    </w:rPr>
  </w:style>
  <w:style w:type="paragraph" w:styleId="21">
    <w:name w:val="Quote"/>
    <w:basedOn w:val="a"/>
    <w:next w:val="a"/>
    <w:link w:val="22"/>
    <w:uiPriority w:val="29"/>
    <w:qFormat/>
    <w:rsid w:val="00EF3638"/>
    <w:pPr>
      <w:spacing w:before="160"/>
      <w:jc w:val="center"/>
    </w:pPr>
    <w:rPr>
      <w:i/>
      <w:iCs/>
      <w:color w:val="404040" w:themeColor="text1" w:themeTint="BF"/>
    </w:rPr>
  </w:style>
  <w:style w:type="character" w:customStyle="1" w:styleId="22">
    <w:name w:val="Цитата 2 Знак"/>
    <w:basedOn w:val="a0"/>
    <w:link w:val="21"/>
    <w:uiPriority w:val="29"/>
    <w:rsid w:val="00EF3638"/>
    <w:rPr>
      <w:i/>
      <w:iCs/>
      <w:color w:val="404040" w:themeColor="text1" w:themeTint="BF"/>
    </w:rPr>
  </w:style>
  <w:style w:type="paragraph" w:styleId="ae">
    <w:name w:val="List Paragraph"/>
    <w:basedOn w:val="a"/>
    <w:uiPriority w:val="34"/>
    <w:qFormat/>
    <w:rsid w:val="00EF3638"/>
    <w:pPr>
      <w:ind w:left="720"/>
      <w:contextualSpacing/>
    </w:pPr>
  </w:style>
  <w:style w:type="character" w:styleId="af">
    <w:name w:val="Intense Emphasis"/>
    <w:basedOn w:val="a0"/>
    <w:uiPriority w:val="21"/>
    <w:qFormat/>
    <w:rsid w:val="00EF3638"/>
    <w:rPr>
      <w:i/>
      <w:iCs/>
      <w:color w:val="2F5496" w:themeColor="accent1" w:themeShade="BF"/>
    </w:rPr>
  </w:style>
  <w:style w:type="paragraph" w:styleId="af0">
    <w:name w:val="Intense Quote"/>
    <w:basedOn w:val="a"/>
    <w:next w:val="a"/>
    <w:link w:val="af1"/>
    <w:uiPriority w:val="30"/>
    <w:qFormat/>
    <w:rsid w:val="00EF36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1">
    <w:name w:val="Выделенная цитата Знак"/>
    <w:basedOn w:val="a0"/>
    <w:link w:val="af0"/>
    <w:uiPriority w:val="30"/>
    <w:rsid w:val="00EF3638"/>
    <w:rPr>
      <w:i/>
      <w:iCs/>
      <w:color w:val="2F5496" w:themeColor="accent1" w:themeShade="BF"/>
    </w:rPr>
  </w:style>
  <w:style w:type="character" w:styleId="af2">
    <w:name w:val="Intense Reference"/>
    <w:basedOn w:val="a0"/>
    <w:uiPriority w:val="32"/>
    <w:qFormat/>
    <w:rsid w:val="00EF363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2487</Words>
  <Characters>14178</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Фефилова</dc:creator>
  <cp:keywords/>
  <dc:description/>
  <cp:lastModifiedBy>Ангелина Фефилова</cp:lastModifiedBy>
  <cp:revision>2</cp:revision>
  <dcterms:created xsi:type="dcterms:W3CDTF">2026-05-21T06:46:00Z</dcterms:created>
  <dcterms:modified xsi:type="dcterms:W3CDTF">2026-05-21T07:03:00Z</dcterms:modified>
</cp:coreProperties>
</file>