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Технологическая карта</w:t>
      </w: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 урока русского языка</w:t>
      </w:r>
    </w:p>
    <w:p w14:paraId="00000002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Тема: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“Правописание корней с чередованием а//о: -гар- — -гор-, -зар- — -зор-“</w:t>
      </w:r>
    </w:p>
    <w:p w14:paraId="00000003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Класс: </w:t>
      </w:r>
      <w:r>
        <w:rPr>
          <w:rFonts w:ascii="Times New Roman" w:cs="Times New Roman" w:hAnsi="Times New Roman"/>
          <w:sz w:val="24"/>
          <w:szCs w:val="24"/>
          <w:lang w:val="ru-RU"/>
        </w:rPr>
        <w:t>5</w:t>
      </w:r>
    </w:p>
    <w:p w14:paraId="00000004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Учитель: </w:t>
      </w:r>
      <w:r>
        <w:rPr>
          <w:rFonts w:ascii="Times New Roman" w:cs="Times New Roman" w:hAnsi="Times New Roman"/>
          <w:sz w:val="24"/>
          <w:szCs w:val="24"/>
          <w:lang w:val="ru-RU"/>
        </w:rPr>
        <w:t>Морозова Наталия Антоновна</w:t>
      </w:r>
    </w:p>
    <w:p w14:paraId="00000005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Образовательное учреждение: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МБОУ “Краснообская СОШ №1 с углубленным изучением отдельных предметов</w:t>
      </w:r>
    </w:p>
    <w:p w14:paraId="00000006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УМК: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Русский язык. 5 класс. Учебник. 1-2 часть</w:t>
      </w:r>
    </w:p>
    <w:p w14:paraId="00000007">
      <w:pPr>
        <w:jc w:val="left"/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Авторы: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Ладыженская Т.А., Баранов М.Т., Тростенцова Л.А. и др.</w:t>
      </w:r>
    </w:p>
    <w:p w14:paraId="00000008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№ </w:t>
      </w: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урока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ru-RU"/>
        </w:rPr>
        <w:t>— 169, по УМК параграфы 100, 101 (стр.63-65)</w:t>
      </w:r>
    </w:p>
    <w:p w14:paraId="00000009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Тип урока: </w:t>
      </w:r>
      <w:r>
        <w:rPr>
          <w:rFonts w:ascii="Times New Roman" w:cs="Times New Roman" w:hAnsi="Times New Roman"/>
          <w:sz w:val="24"/>
          <w:szCs w:val="24"/>
          <w:lang w:val="ru-RU"/>
        </w:rPr>
        <w:t>изучение нового</w:t>
      </w:r>
    </w:p>
    <w:p w14:paraId="0000000A">
      <w:p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Цели урока </w:t>
      </w:r>
      <w:r>
        <w:rPr>
          <w:rFonts w:ascii="Times New Roman" w:cs="Times New Roman" w:hAnsi="Times New Roman"/>
          <w:sz w:val="24"/>
          <w:szCs w:val="24"/>
          <w:lang w:val="ru-RU"/>
        </w:rPr>
        <w:t>—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знакомство 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учащихся с правилами правописания чередующихся гласных в корнях 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−ГАР−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/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−ГОР−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и 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−ЗАР−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/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−ЗОР−, </w:t>
      </w:r>
      <w:r>
        <w:rPr>
          <w:rFonts w:ascii="Times New Roman" w:cs="Times New Roman" w:hAnsi="Times New Roman"/>
          <w:sz w:val="24"/>
          <w:szCs w:val="24"/>
          <w:rtl w:val="off"/>
          <w:lang w:val="ru-RU"/>
        </w:rPr>
        <w:t>формирование умение применять полученные знания на практике.</w:t>
      </w:r>
    </w:p>
    <w:p w14:paraId="0000000B">
      <w:pPr>
        <w:bidi w:val="off"/>
        <w:jc w:val="left"/>
        <w:rPr>
          <w:rFonts w:ascii="Times New Roman" w:cs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Задачи: </w:t>
      </w:r>
    </w:p>
    <w:p w14:paraId="0000000C">
      <w:pPr>
        <w:numPr>
          <w:ilvl w:val="0"/>
          <w:numId w:val="7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изучить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правило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правописания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букв </w:t>
      </w:r>
      <w:r>
        <w:rPr>
          <w:rFonts w:ascii="Times New Roman" w:cs="Times New Roman" w:hAnsi="Times New Roman"/>
          <w:i/>
          <w:sz w:val="24"/>
          <w:szCs w:val="24"/>
          <w:rtl w:val="off"/>
          <w:lang w:val="en-US"/>
        </w:rPr>
        <w:t>а/о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в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указанных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корнях;</w:t>
      </w:r>
    </w:p>
    <w:p w14:paraId="0000000D">
      <w:pPr>
        <w:numPr>
          <w:ilvl w:val="0"/>
          <w:numId w:val="7"/>
        </w:numPr>
        <w:bidi w:val="off"/>
        <w:jc w:val="left"/>
        <w:rPr>
          <w:rFonts w:ascii="Times New Roman" w:cs="Times New Roman" w:hAnsi="Times New Roman"/>
          <w:sz w:val="24"/>
          <w:szCs w:val="24"/>
          <w:rtl w:val="off"/>
          <w:lang w:val="en-US"/>
        </w:rPr>
      </w:pP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научиться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определять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условия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выбора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гласной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(</w:t>
      </w:r>
      <w:r>
        <w:rPr>
          <w:rFonts w:ascii="Times New Roman" w:cs="Times New Roman" w:hAnsi="Times New Roman"/>
          <w:i/>
          <w:sz w:val="24"/>
          <w:szCs w:val="24"/>
          <w:rtl w:val="off"/>
          <w:lang w:val="en-US"/>
        </w:rPr>
        <w:t>ударение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);</w:t>
      </w:r>
    </w:p>
    <w:p w14:paraId="0000000E">
      <w:pPr>
        <w:numPr>
          <w:ilvl w:val="0"/>
          <w:numId w:val="7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отработать умение применять полученные знания на практике;</w:t>
      </w:r>
    </w:p>
    <w:p w14:paraId="0000000F">
      <w:pPr>
        <w:numPr>
          <w:ilvl w:val="0"/>
          <w:numId w:val="7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>развить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умение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работать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в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группе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и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презентовать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результаты</w:t>
      </w:r>
      <w:r>
        <w:rPr>
          <w:rFonts w:ascii="Times New Roman" w:cs="Times New Roman" w:hAnsi="Times New Roman"/>
          <w:sz w:val="24"/>
          <w:szCs w:val="24"/>
          <w:rtl w:val="off"/>
          <w:lang w:val="en-US"/>
        </w:rPr>
        <w:t xml:space="preserve"> работы.</w:t>
      </w:r>
    </w:p>
    <w:p w14:paraId="00000010">
      <w:pPr>
        <w:bidi w:val="off"/>
        <w:ind w:left="0" w:right="0" w:firstLine="0"/>
        <w:jc w:val="left"/>
        <w:rPr>
          <w:rFonts w:ascii="Times New Roman" w:cs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Формы организации познавательной деятельности учащихся:</w:t>
      </w:r>
    </w:p>
    <w:p w14:paraId="00000011">
      <w:pPr>
        <w:numPr>
          <w:ilvl w:val="0"/>
          <w:numId w:val="8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групповая работа;</w:t>
      </w:r>
    </w:p>
    <w:p w14:paraId="00000012">
      <w:pPr>
        <w:numPr>
          <w:ilvl w:val="0"/>
          <w:numId w:val="8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фронтальная работа.</w:t>
      </w:r>
    </w:p>
    <w:p w14:paraId="00000013">
      <w:pPr>
        <w:bidi w:val="off"/>
        <w:ind w:right="0"/>
        <w:jc w:val="left"/>
        <w:rPr>
          <w:rFonts w:ascii="Times New Roman" w:cs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Ресурсы и средства обучения:</w:t>
      </w:r>
    </w:p>
    <w:p w14:paraId="00000014">
      <w:pPr>
        <w:numPr>
          <w:ilvl w:val="0"/>
          <w:numId w:val="9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 xml:space="preserve">Презентация урока в формате </w:t>
      </w:r>
      <w:r>
        <w:rPr>
          <w:rFonts w:ascii="Times New Roman" w:cs="Times New Roman" w:hAnsi="Times New Roman"/>
          <w:sz w:val="24"/>
          <w:szCs w:val="24"/>
          <w:lang w:val="en-US"/>
        </w:rPr>
        <w:t>PowerPoint</w:t>
      </w:r>
    </w:p>
    <w:p w14:paraId="00000015">
      <w:pPr>
        <w:numPr>
          <w:ilvl w:val="0"/>
          <w:numId w:val="9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Компьютер</w:t>
      </w:r>
    </w:p>
    <w:p w14:paraId="00000016">
      <w:pPr>
        <w:numPr>
          <w:ilvl w:val="0"/>
          <w:numId w:val="9"/>
        </w:numPr>
        <w:bidi w:val="off"/>
        <w:jc w:val="left"/>
        <w:rPr>
          <w:rFonts w:ascii="Times New Roman" w:cs="Times New Roman" w:hAnsi="Times New Roman"/>
          <w:i w:val="off"/>
          <w:iCs w:val="off"/>
          <w:sz w:val="24"/>
          <w:szCs w:val="24"/>
          <w:highlight w:val="none"/>
          <w:lang w:val="en-US"/>
        </w:rPr>
      </w:pPr>
      <w:r>
        <w:rPr>
          <w:rFonts w:ascii="Times New Roman" w:cs="Times New Roman" w:hAnsi="Times New Roman"/>
          <w:i w:val="off"/>
          <w:iCs w:val="off"/>
          <w:sz w:val="24"/>
          <w:szCs w:val="24"/>
          <w:highlight w:val="none"/>
          <w:lang w:val="ru-RU"/>
        </w:rPr>
        <w:t>Мультимедийное оборудование или интерактивная доска</w:t>
      </w:r>
    </w:p>
    <w:p w14:paraId="00000017">
      <w:pPr>
        <w:numPr>
          <w:ilvl w:val="0"/>
          <w:numId w:val="9"/>
        </w:numPr>
        <w:bidi w:val="off"/>
        <w:jc w:val="left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Раздаточный материал для работы в группах и индивидуально.</w:t>
      </w:r>
    </w:p>
    <w:p w14:paraId="00000018">
      <w:pPr>
        <w:jc w:val="left"/>
        <w:rPr>
          <w:rFonts w:ascii="Times New Roman" w:cs="Times New Roman" w:hAnsi="Times New Roman"/>
          <w:sz w:val="24"/>
          <w:szCs w:val="24"/>
        </w:rPr>
      </w:pPr>
    </w:p>
    <w:p w14:paraId="00000019">
      <w:pPr>
        <w:jc w:val="left"/>
        <w:rPr>
          <w:rFonts w:ascii="Times New Roman" w:cs="Times New Roman" w:hAnsi="Times New Roman"/>
          <w:sz w:val="24"/>
          <w:szCs w:val="24"/>
        </w:rPr>
      </w:pPr>
    </w:p>
    <w:p w14:paraId="0000001A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Ход урока</w:t>
      </w:r>
    </w:p>
    <w:p w14:paraId="0000001B">
      <w:pPr>
        <w:ind w:left="0" w:right="0" w:firstLine="0"/>
        <w:jc w:val="left"/>
        <w:rPr>
          <w:rFonts w:ascii="Times New Roman" w:cs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bCs/>
          <w:sz w:val="24"/>
          <w:szCs w:val="24"/>
          <w:u w:val="single"/>
          <w:lang w:val="ru-RU"/>
        </w:rPr>
        <w:t>1. Организационный момент</w:t>
      </w:r>
      <w:r>
        <w:rPr>
          <w:rFonts w:ascii="Times New Roman" w:cs="Times New Roman" w:hAnsi="Times New Roman"/>
          <w:b/>
          <w:bCs/>
          <w:sz w:val="24"/>
          <w:szCs w:val="24"/>
          <w:u w:val="none"/>
          <w:lang w:val="ru-RU"/>
        </w:rPr>
        <w:t xml:space="preserve"> (2 минуты)</w:t>
      </w:r>
    </w:p>
    <w:p w14:paraId="0000001C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Разделение учащихся на группы.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</w:t>
      </w:r>
    </w:p>
    <w:p w14:paraId="0000001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sz w:val="24"/>
          <w:szCs w:val="24"/>
          <w:lang w:val="ru-RU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 xml:space="preserve">Перед началом урока учитель встречает учащихся у входа в класс, приветствует их. 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В руках учителя мешочек с цифрами для жеребьевки. Каждый учащийся вытягивает случайным образом цифру и объединяется в команду. </w:t>
      </w:r>
    </w:p>
    <w:p w14:paraId="0000001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(слайд 1) Формирование групп</w:t>
      </w:r>
    </w:p>
    <w:p w14:paraId="0000001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  <w:t>Здравствуйте, ребята! Знаете ли вы, что такое расследование? Сегодня мы  — детективы в детективном агентстве! Нам предстоит раскрыть два дела! Дело в том, что в Королевстве Орфография случилась необычная аномалия: в некоторых корнях слов буквы меняются местами. Из-за этого жители королевства в полной растерянности, ведь они не знают, как правильно написать эти слова. Поможете ли вы провести лингвистическое расследование, чтобы узнать, о каких буквах и в каких корнях идет речь?</w:t>
      </w:r>
    </w:p>
    <w:p w14:paraId="0000002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  <w:t xml:space="preserve">2.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 xml:space="preserve">Актуализация знаний, фиксация затруднения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>(3 минуты)</w:t>
      </w:r>
    </w:p>
    <w:p w14:paraId="0000002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Arial"/>
          <w:b w:val="off"/>
          <w:bCs w:val="off"/>
          <w:color w:val="2c2d2e"/>
          <w:sz w:val="33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lang w:val="ru-RU"/>
        </w:rPr>
        <w:t>(слайд 2) Определение темы урока</w:t>
      </w:r>
    </w:p>
    <w:p w14:paraId="0000002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u w:val="none"/>
          <w:lang w:val="ru-RU"/>
        </w:rPr>
        <w:t xml:space="preserve">- 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u w:val="none"/>
          <w:lang w:val="ru-RU"/>
        </w:rPr>
        <w:t>Рассмотрите следующие слова. Похожи ли у них корни? Можете ли вы проверить гласную в корне во всех словах? В каких словах мы не можем ее проверить?</w:t>
      </w:r>
    </w:p>
    <w:p w14:paraId="0000002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u w:val="none"/>
          <w:lang w:val="ru-RU"/>
        </w:rPr>
        <w:t>Верно, в словах загар и гореть гласная не проверяется. В одной и той же части слова стоит разная буква. Как называется такая гласная?</w:t>
      </w:r>
    </w:p>
    <w:p w14:paraId="0000002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12"/>
          <w:u w:val="single"/>
          <w:lang w:val="ru-RU"/>
        </w:rPr>
        <w:t xml:space="preserve">3. Целеполагание </w:t>
      </w:r>
      <w:r>
        <w:rPr>
          <w:rFonts w:ascii="Times New Roman" w:cs="Times New Roman" w:hAnsi="Times New Roman"/>
          <w:b/>
          <w:bCs/>
          <w:color w:val="2c2d2e"/>
          <w:sz w:val="24"/>
          <w:szCs w:val="12"/>
          <w:u w:val="none"/>
          <w:lang w:val="ru-RU"/>
        </w:rPr>
        <w:t xml:space="preserve">(2 минуты) 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12"/>
          <w:lang w:val="ru-RU"/>
        </w:rPr>
        <w:t>Что нам нужно будет сегодня узнать? Сформулируйте цель урока.</w:t>
      </w:r>
    </w:p>
    <w:p w14:paraId="0000002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color w:val="2c2d2e"/>
          <w:sz w:val="24"/>
          <w:szCs w:val="12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12"/>
          <w:u w:val="single"/>
          <w:lang w:val="en-US"/>
        </w:rPr>
        <w:t>4. “</w:t>
      </w:r>
      <w:r>
        <w:rPr>
          <w:rFonts w:ascii="Times New Roman" w:cs="Times New Roman" w:hAnsi="Times New Roman"/>
          <w:b/>
          <w:bCs/>
          <w:color w:val="2c2d2e"/>
          <w:sz w:val="24"/>
          <w:szCs w:val="12"/>
          <w:u w:val="single"/>
          <w:lang w:val="ru-RU"/>
        </w:rPr>
        <w:t>Открытие” нового знания.</w:t>
      </w:r>
    </w:p>
    <w:p w14:paraId="0000002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12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12"/>
          <w:lang w:val="en-US"/>
        </w:rPr>
        <w:t>(</w:t>
      </w:r>
      <w:r>
        <w:rPr>
          <w:rFonts w:ascii="Times New Roman" w:cs="Times New Roman" w:hAnsi="Times New Roman"/>
          <w:b/>
          <w:bCs/>
          <w:color w:val="2c2d2e"/>
          <w:sz w:val="24"/>
          <w:szCs w:val="12"/>
          <w:lang w:val="ru-RU"/>
        </w:rPr>
        <w:t xml:space="preserve">слайд 3) </w:t>
      </w:r>
      <w:r>
        <w:rPr>
          <w:rFonts w:ascii="Times New Roman" w:cs="Times New Roman" w:hAnsi="Times New Roman"/>
          <w:b/>
          <w:bCs/>
          <w:color w:val="2c2d2e"/>
          <w:sz w:val="24"/>
          <w:szCs w:val="12"/>
          <w:u w:val="single"/>
          <w:lang w:val="ru-RU"/>
        </w:rPr>
        <w:t>Этап 1. Распределение ролей (2 минуты)</w:t>
      </w:r>
    </w:p>
    <w:p w14:paraId="0000002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-Ребята, сегодня нам нужно провести лингвистическое расследование и изучить два дела: 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правописание чередующейся гласной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 А//О в корне -ГАР-, -ГОР-, правописание чередующейся гласной А//О в корне -ЗАР, -ЗОР-.</w:t>
      </w:r>
    </w:p>
    <w:p w14:paraId="0000002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Перед тем как приступить к выполнению заданий, нам нужно выбрать капитанов команд. 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Их задача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коо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рдинирование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 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работы групп и представление результата работы перед классом. На выбор капитана у вас есть 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10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 секунд.</w:t>
      </w:r>
    </w:p>
    <w:p w14:paraId="0000002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>По истечении времени учащиеся называют капитанов команд и записывают имена капитанов на отдельный лист.</w:t>
      </w:r>
    </w:p>
    <w:p w14:paraId="0000002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 w:val="off"/>
          <w:iCs w:val="off"/>
          <w:color w:val="2c2d2e"/>
          <w:sz w:val="24"/>
          <w:szCs w:val="24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ru-RU"/>
        </w:rPr>
        <w:t>Теперь капитанам команд нужно распределить роли между остальными участниками. На слайде вы видите возможные роли. В течение 30 секунд капитанам необходимо распределить роли между участниками и внести их на отдельный лист, который лежит на ваших партах. Время пошло.</w:t>
      </w:r>
    </w:p>
    <w:p w14:paraId="0000002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>По истечении времени капитан команды записывает на отдельный лист имена учащихся и их роль.</w:t>
      </w:r>
    </w:p>
    <w:p w14:paraId="0000002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Этап 2. Получение секретного задания</w:t>
      </w:r>
    </w:p>
    <w:p w14:paraId="0000002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Учитель раздаёт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каждой группе “дело”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раздаточный материал со словами по изучаемым орфограммам. Задача групп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изучить слова, сформулировать правило. Чтобы учащиеся смогли верно сформулировать правило, учитель дает им памятки, в которых прописано, что ученикам нужно выделить в словах корень, расставить ударение. Опираясь на эти данные, они смогут сформулировать правило. Результатом работы каждой группы будет составление “детективного досье”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отчета, в который учащиеся запишут изучаемый корень, правило (какая гласная пишется под ударением, какая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>—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 без ударения. </w:t>
      </w:r>
    </w:p>
    <w:p w14:paraId="0000002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Этап 3. Изучение “улик” и их анализ, составление й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отчета расследования (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5 минут)</w:t>
      </w:r>
    </w:p>
    <w:p w14:paraId="0000002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ru-RU"/>
        </w:rPr>
        <w:t xml:space="preserve">Ребята, вы получили секретное задание. Ваша задача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>—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 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rtl w:val="off"/>
          <w:lang w:val="ru-RU"/>
        </w:rPr>
        <w:t>исследовать слова, проанали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rtl w:val="off"/>
          <w:lang w:val="ru-RU"/>
        </w:rPr>
        <w:t>зировать случаи написания гласных, сформулировать правило, указать, какое значение у этих слов с чередующейся гласной. Не забывайте, что каждый из вас выполняет свою роль, поэтому каждый учащийся в группе должен быть задействован в работу. На выполнение задание у вас есть 5 минут. После этого капитан от каждой группы будет представлять “досье исследования”, оформленное в виде таблицы (см. приложение).</w:t>
      </w:r>
    </w:p>
    <w:p w14:paraId="0000003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Учитель выводит на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highlight w:val="none"/>
          <w:lang w:val="ru-RU"/>
        </w:rPr>
        <w:t>м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highlight w:val="none"/>
          <w:lang w:val="ru-RU"/>
        </w:rPr>
        <w:t>ультимедийный экран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highlight w:val="none"/>
          <w:lang w:val="ru-RU"/>
        </w:rPr>
        <w:t>(или интерактивную доску)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highlight w:val="none"/>
          <w:lang w:val="ru-RU"/>
        </w:rPr>
        <w:t>таймер.</w:t>
      </w:r>
    </w:p>
    <w:p w14:paraId="0000003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 xml:space="preserve">Этап 4. Представление результатов исследования группы, которая расследовала “дело” “Правописание букв А//О в корне -ГАР-, -ГОР-“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none"/>
          <w:lang w:val="ru-RU"/>
        </w:rPr>
        <w:t>(2 минуты)</w:t>
      </w:r>
    </w:p>
    <w:p w14:paraId="0000003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>По истечении времени каждой группе необходимо представить свой отчёт. Сначала слово будет предоставлено группе, которая изучала дело “П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равописание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>букв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 А//О в корне -ГАР-, -ГОР-“. Второй группе учитель даёт установку: ребята, сейчас вам необходимо зафиксировать правило, которое сформулировала первая группа, записать примеры (для этого он раздает раздаточный материал, куда дети будут вносить теоретическую информацию).</w:t>
      </w:r>
    </w:p>
    <w:p w14:paraId="0000003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Думаю, первая группа обратила внимание на то, что в их лингвистическом расследовании осталось место для написания слов-исключений. Чтобы понять, какие слова относятся к исключениям из этого правила,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 xml:space="preserve"> я предлагаю вам расшифровать ребусы, которые сейчас будут появляться на слайде. Слова-отгадки вам нужно записать в строку с исключениями.</w:t>
      </w:r>
    </w:p>
    <w:p w14:paraId="0000003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Этап 5. Дополнение первой экспертизы: поиск слов-исключений (2 минуты)</w:t>
      </w:r>
    </w:p>
    <w:p w14:paraId="0000003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>Ученики расшифровывают ребусы. Учитель спрашивает тех, кто быстрее поднимет руку. Это задание на скорость. Обе группы записывают слова-исключения в раздаточный материал.</w:t>
      </w:r>
    </w:p>
    <w:p w14:paraId="0000003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 xml:space="preserve">Этап 6.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 xml:space="preserve">Представление результатов исследования группы, которая расследовала “дело” “Правописание букв А//О в корне -ЗАР-, -ЗОР-“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(2 минуты)</w:t>
      </w:r>
    </w:p>
    <w:p w14:paraId="0000003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u w:val="none"/>
          <w:lang w:val="ru-RU"/>
        </w:rPr>
        <w:t xml:space="preserve">Вторая группа, которая изучала дело “Правописание букв А//О в корне -ЗАР-, -ЗОР- представляет результаты исследования.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u w:val="none"/>
          <w:lang w:val="ru-RU"/>
        </w:rPr>
        <w:t>Учащиеся из первой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u w:val="none"/>
          <w:lang w:val="ru-RU"/>
        </w:rPr>
        <w:t xml:space="preserve"> группы фиксируют это правило в раздаточном материале.</w:t>
      </w:r>
    </w:p>
    <w:p w14:paraId="0000003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u w:val="none"/>
          <w:lang w:val="en-US"/>
        </w:rPr>
      </w:pPr>
    </w:p>
    <w:p w14:paraId="0000003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</w:pPr>
    </w:p>
    <w:p w14:paraId="0000003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5. Первичное закрепление</w:t>
      </w:r>
    </w:p>
    <w:p w14:paraId="0000003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 xml:space="preserve">Этап 7. Практическая экспертиза: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применение полученных знаний</w:t>
      </w:r>
    </w:p>
    <w:p w14:paraId="0000003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en-US"/>
        </w:rPr>
        <w:t>-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  <w:t xml:space="preserve">Ребята, проведем физкультминутку по изучаемым орфограммам. Сейчас все встаньте так, чтобы не мешать другу другу. Если в слове пишется буква А, 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  <w:t xml:space="preserve">вам нужно потянуться, если буква О - присесть, если вы слышите слово-исключение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>вам нужно покачаться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2c2d2e"/>
          <w:sz w:val="24"/>
          <w:szCs w:val="24"/>
          <w:u w:val="none"/>
          <w:lang w:val="ru-RU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(1 минута)</w:t>
      </w:r>
    </w:p>
    <w:p w14:paraId="0000003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/>
          <w:iCs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 xml:space="preserve">Учитель проговаривает слова огарок, догорать, </w:t>
      </w: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>выгарки</w:t>
      </w: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 xml:space="preserve">, озарение, зори, </w:t>
      </w: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>изгарь</w:t>
      </w: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>.</w:t>
      </w:r>
    </w:p>
    <w:p w14:paraId="0000003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en-US"/>
        </w:rPr>
      </w:pP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lang w:val="ru-RU"/>
        </w:rPr>
        <w:t xml:space="preserve">Теперь практикуемся дальше. Сейчас на слайде будут появляться слова, одно из них будет лишнее. Ваша задача 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 w:val="off"/>
          <w:iCs w:val="off"/>
          <w:color w:val="2c2d2e"/>
          <w:sz w:val="24"/>
          <w:szCs w:val="24"/>
          <w:rtl w:val="off"/>
          <w:lang w:val="ru-RU"/>
        </w:rPr>
        <w:t>понять, какое это слово и объяснить почему.</w:t>
      </w:r>
    </w:p>
    <w:p w14:paraId="0000003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На слайде появляются слова: два с чередующейся гласной, одно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lang w:val="ru-RU"/>
        </w:rPr>
        <w:t xml:space="preserve">с проверяемой. Задача детей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i/>
          <w:iCs/>
          <w:color w:val="2c2d2e"/>
          <w:sz w:val="24"/>
          <w:szCs w:val="24"/>
          <w:rtl w:val="off"/>
          <w:lang w:val="ru-RU"/>
        </w:rPr>
        <w:t xml:space="preserve">распознать орфограмму. </w:t>
      </w:r>
    </w:p>
    <w:p w14:paraId="0000004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en-US"/>
        </w:rPr>
        <w:t xml:space="preserve">(2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u w:val="single"/>
          <w:lang w:val="ru-RU"/>
        </w:rPr>
        <w:t>минуты)</w:t>
      </w:r>
    </w:p>
    <w:p w14:paraId="00000041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en-US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1. Загореть, загар, горы</w:t>
      </w:r>
    </w:p>
    <w:p w14:paraId="00000042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en-US"/>
        </w:rPr>
        <w:t xml:space="preserve">2.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Заря, зарядка, зорька</w:t>
      </w:r>
    </w:p>
    <w:p w14:paraId="00000043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3. Огарок, горевать, разгорячённый.</w:t>
      </w:r>
    </w:p>
    <w:p w14:paraId="0000004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4. Озарение, зорька, озорной.</w:t>
      </w:r>
    </w:p>
    <w:p w14:paraId="0000004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>Дети работают с раздаточным материалом. Учитель опрашивает их фронтально, ученики устно отвечают, почему написали именно эту букву.</w:t>
      </w:r>
    </w:p>
    <w:p w14:paraId="00000046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-Сейчас, ребята, я раздам вам тексты. Ваша задача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rtl w:val="off"/>
          <w:lang w:val="en-US"/>
        </w:rPr>
        <w:t xml:space="preserve">— </w:t>
      </w:r>
      <w:r>
        <w:rPr>
          <w:rFonts w:ascii="Times New Roman" w:cs="Times New Roman" w:hAnsi="Times New Roman"/>
          <w:b/>
          <w:bCs/>
          <w:i w:val="off"/>
          <w:iCs w:val="off"/>
          <w:color w:val="2c2d2e"/>
          <w:sz w:val="24"/>
          <w:szCs w:val="24"/>
          <w:rtl w:val="off"/>
          <w:lang w:val="ru-RU"/>
        </w:rPr>
        <w:t>объединиться в пары и вставить подходящие по смыслу слова в текст, используя слова для справок (они даны ниже). На выполнение работы у вас 2 минуты.</w:t>
      </w:r>
    </w:p>
    <w:p w14:paraId="00000047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Утренняя заря</w:t>
      </w:r>
    </w:p>
    <w:p w14:paraId="00000048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Ранним утром, когда _____ только _____ небо, мы отправились в путь. Солнце ещё не взошло, но на горизонте уже _____  алый свет. Мы шли по тропинке, а вокруг _____ росинки на траве, словно маленькие _____ .</w:t>
      </w:r>
    </w:p>
    <w:p w14:paraId="00000049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Слова для справок: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загорелся, заря, озарила, зори, горели.</w:t>
      </w:r>
    </w:p>
    <w:p w14:paraId="0000004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ru-RU"/>
        </w:rPr>
        <w:t>Проверка текста (примерно одна минута)</w:t>
      </w:r>
    </w:p>
    <w:p w14:paraId="0000004B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Ранним утром, когда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заря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только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озарила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небо, мы отправились в путь. Солнце ещё не взошло, но на горизонте уже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алый свет. Мы шли по тропинке, а вокруг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горели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росинки на траве, словно маленькие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росы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.</w:t>
      </w:r>
    </w:p>
    <w:p w14:paraId="0000004C">
      <w:pPr>
        <w:framePr w:w="0" w:h="0" w:vAnchor="margin" w:hAnchor="text" w:x="0" w:y="0"/>
        <w:pageBreakBefore w:val="off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i/>
          <w:i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Слова для справок: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color w:val="2c2d2e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загорелся, заря, озарила, зори, горели.</w:t>
      </w:r>
    </w:p>
    <w:p w14:paraId="0000004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  <w:t xml:space="preserve">(3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минуты)</w:t>
      </w:r>
    </w:p>
    <w:p w14:paraId="0000004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color w:val="2c2d2e"/>
          <w:sz w:val="33"/>
          <w:lang w:val="en-US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en-US"/>
        </w:rPr>
        <w:t>-</w:t>
      </w: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Ребята, сегодня каждый из вас проявил себя как ответственный детектив. В конце урока я предлагаю вам выполнить творческое задание: раскрасить картинку с детективом. На раскраске вы увидите слова. Если в слове пишется гласная О, используйте синий цвет. Если гласная А, используйте красный цвет. Если вы верно раскрасите все слова, значит, вы отлично справились с заданием и усвоили новую тему.</w:t>
      </w:r>
    </w:p>
    <w:p w14:paraId="0000004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color w:val="2c2d2e"/>
          <w:sz w:val="33"/>
          <w:lang w:val="en-US"/>
        </w:rPr>
      </w:pPr>
      <w:r>
        <w:rPr>
          <w:rFonts w:ascii="Times New Roman" w:cs="Times New Roman" w:hAnsi="Times New Roman"/>
          <w:color w:val="2c2d2e"/>
          <w:sz w:val="24"/>
          <w:szCs w:val="24"/>
          <w:lang w:val="ru-RU"/>
        </w:rPr>
        <w:t>Ученики раскрашивают картинку. Чтобы они могли проверить себя, по истечении времени учитель выводит на слайд раскрашенную картинку.</w:t>
      </w:r>
    </w:p>
    <w:p w14:paraId="0000005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en-US"/>
        </w:rPr>
        <w:t xml:space="preserve">6.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single"/>
          <w:lang w:val="ru-RU"/>
        </w:rPr>
        <w:t>Подведение итогов, рефлексия, оценка работы групп (2 минуты)</w:t>
      </w:r>
    </w:p>
    <w:p w14:paraId="0000005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5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b/>
          <w:bCs/>
          <w:color w:val="2c2d2e"/>
          <w:sz w:val="33"/>
          <w:u w:val="single"/>
          <w:lang w:val="en-US"/>
        </w:rPr>
      </w:pPr>
    </w:p>
    <w:p w14:paraId="0000006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en-US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>Приложение</w:t>
      </w:r>
    </w:p>
    <w:p w14:paraId="0000006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72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>Приложение 1. Раздаточный материал для группы №1 (1 экземпляр)</w:t>
      </w:r>
    </w:p>
    <w:p w14:paraId="0000006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720" w:right="0" w:firstLine="0"/>
        <w:jc w:val="left"/>
        <w:rPr>
          <w:rFonts w:ascii="Times New Roman" w:cs="Times New Roman" w:hAnsi="Times New Roman"/>
          <w:sz w:val="24"/>
          <w:szCs w:val="24"/>
          <w:lang w:val="ru-RU"/>
        </w:rPr>
      </w:pPr>
    </w:p>
    <w:p w14:paraId="0000006A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mc:AlternateContent>
          <mc:Choice Requires="wps">
            <w:drawing xmlns:mc="http://schemas.openxmlformats.org/markup-compatibility/2006">
              <wp:anchor allowOverlap="1" behindDoc="0" distT="0" distB="0" distL="118872" distR="118872" layoutInCell="1" locked="0" relativeHeight="8" simplePos="0">
                <wp:simplePos x="0" y="0"/>
                <wp:positionH relativeFrom="margin">
                  <wp:posOffset>3832225</wp:posOffset>
                </wp:positionH>
                <wp:positionV relativeFrom="margin">
                  <wp:posOffset>2125980</wp:posOffset>
                </wp:positionV>
                <wp:extent cx="2292350" cy="610235"/>
                <wp:effectExtent l="0" t="0" r="9526" b="9525"/>
                <wp:wrapNone/>
                <wp:docPr id="88" name="Текст. 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83" name="Текст. поле 6"/>
                      <wps:cNvSpPr txBox="1"/>
                      <wps:spPr>
                        <a:xfrm>
                          <a:off x="0" y="0"/>
                          <a:ext cx="2292350" cy="6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 id="0">
                        <w:txbxContent>
                          <w:p w14:paraId="0000006B">
                            <w:pPr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Орфограмма: </w:t>
                            </w:r>
                          </w:p>
                        </w:txbxContent>
                      </wps:txbx>
                      <wps:bodyPr rtlCol="0"/>
                    </wps:wsp>
                  </a:graphicData>
                </a:graphic>
              </wp:anchor>
            </w:drawing>
          </mc:Choice>
          <mc:Fallback>
            <w:pict>
              <v:shape id="2827FE33-12C0-5E5B-2DCDA08E0005" coordsize="21600,21600" style="position:absolute;width:180.5pt;height:48.05pt;margin-top:167.4pt;margin-left:301.75pt;mso-wrap-distance-left:9.36pt;mso-wrap-distance-right:9.36pt;mso-wrap-distance-top:0pt;mso-wrap-distance-bottom:0pt;mso-position-horizontal-relative:margin;mso-position-vertical-relative:margin;rotation:0.000000;z-index:8;" fillcolor="#ffffff" strokecolor="#000000" strokeweight="0pt" o:spt="1" path="m0,0 l0,21600 r21600,0 l21600,0 x e">
                <v:stroke color="#000000" filltype="solid" joinstyle="round" linestyle="single" mitterlimit="800000" weight="0pt"/>
                <w10:wrap side="both"/>
                <v:fill type="solid" color="#ffffff" opacity="1.000000"/>
                <o:lock/>
              </v:shape>
            </w:pict>
          </mc:Fallback>
        </mc:AlternateConten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Слова для анализа:</w:t>
      </w:r>
    </w:p>
    <w:p w14:paraId="0000006C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Ог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рок</w:t>
      </w:r>
    </w:p>
    <w:p w14:paraId="0000006D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Заг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</w:t>
      </w:r>
    </w:p>
    <w:p w14:paraId="0000006E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Заг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о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релый</w:t>
      </w:r>
    </w:p>
    <w:p w14:paraId="0000006F">
      <w:pPr>
        <w:jc w:val="center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Г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о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реть</w:t>
      </w:r>
    </w:p>
    <w:p w14:paraId="00000070">
      <w:pPr>
        <w:rPr>
          <w:rFonts w:ascii="Times New Roman" w:cs="Times New Roman" w:hAnsi="Times New Roman"/>
          <w:sz w:val="24"/>
          <w:szCs w:val="24"/>
          <w:lang w:val="ru-RU"/>
        </w:rPr>
      </w:pPr>
    </w:p>
    <w:tbl>
      <w:tblPr>
        <w:tblStyle w:val="TableGrid"/>
        <w:tblpPr w:leftFromText="187" w:rightFromText="187" w:topFromText="0" w:bottomFromText="0" w:vertAnchor="page" w:horzAnchor="page" w:tblpX="1670" w:tblpY="7352"/>
        <w:tblOverlap w:val="never"/>
        <w:tblW w:w="9240" w:type="dxa"/>
        <w:tblInd w:w="0" w:type="dxa"/>
        <w:tblLayout w:type="auto"/>
      </w:tblPr>
      <w:tblGrid>
        <w:gridCol w:w="1416"/>
        <w:gridCol w:w="1416"/>
        <w:gridCol w:w="1416"/>
        <w:gridCol w:w="1415"/>
        <w:gridCol w:w="1416"/>
        <w:gridCol w:w="2161"/>
      </w:tblGrid>
      <w:tr>
        <w:trPr>
          <w:cnfStyle w:val="100000000000"/>
        </w:trPr>
        <w:tc>
          <w:tcPr>
            <w:cnfStyle w:val="100010000000"/>
            <w:tcW w:w="1848" w:type="dxa"/>
          </w:tcPr>
          <w:p w14:paraId="00000071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Условие написания</w:t>
            </w:r>
          </w:p>
        </w:tc>
        <w:tc>
          <w:tcPr>
            <w:cnfStyle w:val="100001000000"/>
            <w:tcW w:w="1848" w:type="dxa"/>
          </w:tcPr>
          <w:p w14:paraId="00000072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Буква в корне</w:t>
            </w:r>
          </w:p>
        </w:tc>
        <w:tc>
          <w:tcPr>
            <w:cnfStyle w:val="100010000000"/>
            <w:tcW w:w="1848" w:type="dxa"/>
            <w:gridSpan w:val="1"/>
          </w:tcPr>
          <w:p w14:paraId="00000073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Значение корня</w:t>
            </w:r>
          </w:p>
        </w:tc>
        <w:tc>
          <w:tcPr>
            <w:cnfStyle w:val="100001000000"/>
            <w:tcW w:w="1848" w:type="dxa"/>
          </w:tcPr>
          <w:p w14:paraId="00000074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Правило</w:t>
            </w:r>
          </w:p>
        </w:tc>
        <w:tc>
          <w:tcPr>
            <w:cnfStyle w:val="100010000000"/>
            <w:tcW w:w="1848" w:type="dxa"/>
          </w:tcPr>
          <w:p w14:paraId="00000075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Примеры</w:t>
            </w:r>
          </w:p>
        </w:tc>
        <w:tc>
          <w:tcPr>
            <w:cnfStyle w:val="100001000000"/>
            <w:tcW w:w="1848" w:type="dxa"/>
          </w:tcPr>
          <w:p w14:paraId="00000076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Слова-исключения</w:t>
            </w:r>
          </w:p>
        </w:tc>
      </w:tr>
      <w:tr>
        <w:trPr>
          <w:cnfStyle w:val="000000000000"/>
        </w:trPr>
        <w:tc>
          <w:tcPr>
            <w:cnfStyle w:val="000010000000"/>
            <w:tcW w:w="1848" w:type="dxa"/>
          </w:tcPr>
          <w:p w14:paraId="00000077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8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9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01000000"/>
            <w:tcW w:w="1848" w:type="dxa"/>
          </w:tcPr>
          <w:p w14:paraId="0000007A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10000000"/>
            <w:tcW w:w="1848" w:type="dxa"/>
            <w:gridSpan w:val="1"/>
          </w:tcPr>
          <w:p w14:paraId="0000007B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01000000"/>
            <w:tcW w:w="1848" w:type="dxa"/>
          </w:tcPr>
          <w:p w14:paraId="0000007C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D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E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7F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10000000"/>
            <w:tcW w:w="1848" w:type="dxa"/>
          </w:tcPr>
          <w:p w14:paraId="00000080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01000000"/>
            <w:tcW w:w="1848" w:type="dxa"/>
            <w:vMerge w:val="restart"/>
          </w:tcPr>
          <w:p w14:paraId="00000081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rPr>
          <w:cnfStyle w:val="000000000000"/>
        </w:trPr>
        <w:tc>
          <w:tcPr>
            <w:cnfStyle w:val="000010000000"/>
            <w:tcW w:w="1848" w:type="dxa"/>
          </w:tcPr>
          <w:p w14:paraId="00000082"/>
          <w:p w14:paraId="00000083"/>
          <w:p w14:paraId="00000084"/>
        </w:tc>
        <w:tc>
          <w:tcPr>
            <w:cnfStyle w:val="000001000000"/>
            <w:tcW w:w="1848" w:type="dxa"/>
          </w:tcPr>
          <w:p w14:paraId="00000085"/>
        </w:tc>
        <w:tc>
          <w:tcPr>
            <w:cnfStyle w:val="000010000000"/>
            <w:tcW w:w="1848" w:type="dxa"/>
            <w:gridSpan w:val="1"/>
          </w:tcPr>
          <w:p w14:paraId="00000086"/>
        </w:tc>
        <w:tc>
          <w:tcPr>
            <w:cnfStyle w:val="000001000000"/>
            <w:tcW w:w="1848" w:type="dxa"/>
          </w:tcPr>
          <w:p w14:paraId="00000087"/>
          <w:p w14:paraId="00000088"/>
          <w:p w14:paraId="00000089"/>
          <w:p w14:paraId="0000008A"/>
          <w:p w14:paraId="0000008B"/>
        </w:tc>
        <w:tc>
          <w:tcPr>
            <w:cnfStyle w:val="000010000000"/>
            <w:tcW w:w="1848" w:type="dxa"/>
          </w:tcPr>
          <w:p w14:paraId="0000008C"/>
        </w:tc>
        <w:tc>
          <w:tcPr>
            <w:cnfStyle w:val="000001000000"/>
            <w:tcW w:w="1848" w:type="dxa"/>
            <w:vMerge w:val="continue"/>
          </w:tcPr>
          <w:p w14:paraId="0000008D"/>
        </w:tc>
      </w:tr>
    </w:tbl>
    <w:p w14:paraId="0000008E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8F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0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1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2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3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4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5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6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7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8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9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720" w:right="0" w:firstLine="0"/>
        <w:jc w:val="center"/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</w:pP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 xml:space="preserve">Приложение 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>2</w:t>
      </w:r>
      <w:r>
        <w:rPr>
          <w:rFonts w:ascii="Times New Roman" w:cs="Times New Roman" w:hAnsi="Times New Roman"/>
          <w:b/>
          <w:bCs/>
          <w:color w:val="2c2d2e"/>
          <w:sz w:val="24"/>
          <w:szCs w:val="24"/>
          <w:u w:val="none"/>
          <w:lang w:val="ru-RU"/>
        </w:rPr>
        <w:t>. Раздаточный материал для группы №2 (1 экземпляр)</w:t>
      </w:r>
    </w:p>
    <w:p w14:paraId="0000009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720" w:right="0" w:firstLine="0"/>
        <w:jc w:val="left"/>
        <w:rPr>
          <w:rFonts w:ascii="Times New Roman" w:cs="Times New Roman" w:hAnsi="Times New Roman"/>
          <w:sz w:val="24"/>
          <w:szCs w:val="24"/>
          <w:lang w:val="ru-RU"/>
        </w:rPr>
      </w:pPr>
    </w:p>
    <w:p w14:paraId="0000009C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Слова для анализа:</w:t>
      </w:r>
    </w:p>
    <w:p w14:paraId="0000009D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mc:AlternateContent>
          <mc:Choice Requires="wps">
            <w:drawing xmlns:mc="http://schemas.openxmlformats.org/markup-compatibility/2006">
              <wp:anchor allowOverlap="1" behindDoc="0" distT="0" distB="0" distL="118872" distR="118872" layoutInCell="1" locked="0" relativeHeight="7" simplePos="0">
                <wp:simplePos x="0" y="0"/>
                <wp:positionH relativeFrom="margin">
                  <wp:posOffset>3754755</wp:posOffset>
                </wp:positionH>
                <wp:positionV relativeFrom="margin">
                  <wp:posOffset>2265680</wp:posOffset>
                </wp:positionV>
                <wp:extent cx="2292350" cy="610235"/>
                <wp:effectExtent l="0" t="0" r="9526" b="9525"/>
                <wp:wrapNone/>
                <wp:docPr id="89" name="Текст. 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84" name="Текст. поле 6"/>
                      <wps:cNvSpPr txBox="1"/>
                      <wps:spPr>
                        <a:xfrm>
                          <a:off x="0" y="0"/>
                          <a:ext cx="2292350" cy="61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 id="1">
                        <w:txbxContent>
                          <w:p w14:paraId="0000009E">
                            <w:pPr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Орфограмма: </w:t>
                            </w:r>
                          </w:p>
                        </w:txbxContent>
                      </wps:txbx>
                      <wps:bodyPr rtlCol="0"/>
                    </wps:wsp>
                  </a:graphicData>
                </a:graphic>
              </wp:anchor>
            </w:drawing>
          </mc:Choice>
          <mc:Fallback>
            <w:pict>
              <v:shape id="52587508-CCE0-18DF-7F386517CBD4" coordsize="21600,21600" style="position:absolute;width:180.5pt;height:48.05pt;margin-top:178.4pt;margin-left:295.65pt;mso-wrap-distance-left:9.36pt;mso-wrap-distance-right:9.36pt;mso-wrap-distance-top:0pt;mso-wrap-distance-bottom:0pt;mso-position-horizontal-relative:margin;mso-position-vertical-relative:margin;rotation:0.000000;z-index:7;" fillcolor="#ffffff" strokecolor="#000000" strokeweight="0pt" o:spt="1" path="m0,0 l0,21600 r21600,0 l21600,0 x e">
                <v:stroke color="#000000" filltype="solid" joinstyle="round" linestyle="single" mitterlimit="800000" weight="0pt"/>
                <w10:wrap side="both"/>
                <v:fill type="solid" color="#ffffff" opacity="1.000000"/>
                <o:lock/>
              </v:shape>
            </w:pict>
          </mc:Fallback>
        </mc:AlternateConten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З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о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ри</w:t>
      </w:r>
    </w:p>
    <w:p w14:paraId="0000009F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З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рево</w:t>
      </w:r>
    </w:p>
    <w:p w14:paraId="000000A0">
      <w:pPr>
        <w:pageBreakBefore w:val="off"/>
        <w:bidi w:val="off"/>
        <w:ind w:left="0" w:right="0" w:firstLine="0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З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ря</w:t>
      </w:r>
    </w:p>
    <w:p w14:paraId="000000A1">
      <w:pPr>
        <w:jc w:val="center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Оз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8"/>
          <w:szCs w:val="28"/>
          <w:u w:val="single"/>
          <w:vertAlign w:val="baseline"/>
          <w:rtl w:val="off"/>
          <w:lang w:val="ru-RU"/>
        </w:rPr>
        <w:t>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  <w:t>рять</w:t>
      </w:r>
    </w:p>
    <w:tbl>
      <w:tblPr>
        <w:tblStyle w:val="TableGrid"/>
        <w:tblpPr w:leftFromText="187" w:rightFromText="187" w:topFromText="0" w:bottomFromText="0" w:vertAnchor="page" w:horzAnchor="page" w:tblpX="1536" w:tblpY="6824"/>
        <w:tblOverlap w:val="never"/>
        <w:tblW w:w="9240" w:type="dxa"/>
        <w:tblInd w:w="0" w:type="dxa"/>
        <w:tblLayout w:type="auto"/>
      </w:tblPr>
      <w:tblGrid>
        <w:gridCol w:w="1848"/>
        <w:gridCol w:w="1848"/>
        <w:gridCol w:w="1848"/>
        <w:gridCol w:w="1848"/>
        <w:gridCol w:w="1848"/>
      </w:tblGrid>
      <w:tr>
        <w:trPr>
          <w:cnfStyle w:val="100000000000"/>
        </w:trPr>
        <w:tc>
          <w:tcPr>
            <w:cnfStyle w:val="100010000000"/>
            <w:tcW w:w="1848" w:type="dxa"/>
          </w:tcPr>
          <w:p w14:paraId="000000A2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Условие написания</w:t>
            </w:r>
          </w:p>
        </w:tc>
        <w:tc>
          <w:tcPr>
            <w:cnfStyle w:val="100001000000"/>
            <w:tcW w:w="1848" w:type="dxa"/>
          </w:tcPr>
          <w:p w14:paraId="000000A3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Буква в корне</w:t>
            </w:r>
          </w:p>
        </w:tc>
        <w:tc>
          <w:tcPr>
            <w:cnfStyle w:val="100010000000"/>
            <w:tcW w:w="1848" w:type="dxa"/>
            <w:gridSpan w:val="1"/>
          </w:tcPr>
          <w:p w14:paraId="000000A4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Значение корня</w:t>
            </w:r>
          </w:p>
        </w:tc>
        <w:tc>
          <w:tcPr>
            <w:cnfStyle w:val="100001000000"/>
            <w:tcW w:w="1848" w:type="dxa"/>
          </w:tcPr>
          <w:p w14:paraId="000000A5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Правило</w:t>
            </w:r>
          </w:p>
        </w:tc>
        <w:tc>
          <w:tcPr>
            <w:cnfStyle w:val="100010000000"/>
            <w:tcW w:w="1848" w:type="dxa"/>
          </w:tcPr>
          <w:p w14:paraId="000000A6">
            <w:p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>Примеры</w:t>
            </w:r>
          </w:p>
        </w:tc>
      </w:tr>
      <w:tr>
        <w:trPr>
          <w:cnfStyle w:val="000000000000"/>
        </w:trPr>
        <w:tc>
          <w:tcPr>
            <w:cnfStyle w:val="000010000000"/>
            <w:tcW w:w="1848" w:type="dxa"/>
          </w:tcPr>
          <w:p w14:paraId="000000A7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8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9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01000000"/>
            <w:tcW w:w="1848" w:type="dxa"/>
          </w:tcPr>
          <w:p w14:paraId="000000AA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10000000"/>
            <w:tcW w:w="1848" w:type="dxa"/>
            <w:gridSpan w:val="1"/>
          </w:tcPr>
          <w:p w14:paraId="000000AB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01000000"/>
            <w:tcW w:w="1848" w:type="dxa"/>
          </w:tcPr>
          <w:p w14:paraId="000000AC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D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E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000000AF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cnfStyle w:val="000010000000"/>
            <w:tcW w:w="1848" w:type="dxa"/>
          </w:tcPr>
          <w:p w14:paraId="000000B0">
            <w:pPr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>
        <w:trPr>
          <w:cnfStyle w:val="000000000000"/>
        </w:trPr>
        <w:tc>
          <w:tcPr>
            <w:cnfStyle w:val="000010000000"/>
            <w:tcW w:w="1848" w:type="dxa"/>
          </w:tcPr>
          <w:p w14:paraId="000000B1"/>
          <w:p w14:paraId="000000B2"/>
          <w:p w14:paraId="000000B3"/>
        </w:tc>
        <w:tc>
          <w:tcPr>
            <w:cnfStyle w:val="000001000000"/>
            <w:tcW w:w="1848" w:type="dxa"/>
          </w:tcPr>
          <w:p w14:paraId="000000B4"/>
        </w:tc>
        <w:tc>
          <w:tcPr>
            <w:cnfStyle w:val="000010000000"/>
            <w:tcW w:w="1848" w:type="dxa"/>
            <w:gridSpan w:val="1"/>
          </w:tcPr>
          <w:p w14:paraId="000000B5"/>
        </w:tc>
        <w:tc>
          <w:tcPr>
            <w:cnfStyle w:val="000001000000"/>
            <w:tcW w:w="1848" w:type="dxa"/>
          </w:tcPr>
          <w:p w14:paraId="000000B6"/>
          <w:p w14:paraId="000000B7"/>
          <w:p w14:paraId="000000B8"/>
          <w:p w14:paraId="000000B9"/>
          <w:p w14:paraId="000000BA"/>
        </w:tc>
        <w:tc>
          <w:tcPr>
            <w:cnfStyle w:val="000010000000"/>
            <w:tcW w:w="1848" w:type="dxa"/>
          </w:tcPr>
          <w:p w14:paraId="000000BB"/>
        </w:tc>
      </w:tr>
    </w:tbl>
    <w:p w14:paraId="000000BC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BD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BE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BF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0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1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2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3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4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5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6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7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8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9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A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B">
      <w:pPr>
        <w:rPr>
          <w:rFonts w:ascii="Times New Roman" w:cs="Times New Roman" w:hAnsi="Times New Roman"/>
          <w:sz w:val="24"/>
          <w:szCs w:val="24"/>
          <w:lang w:val="ru-RU"/>
        </w:rPr>
      </w:pPr>
    </w:p>
    <w:p w14:paraId="000000CC">
      <w:pPr>
        <w:jc w:val="center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Приложение 3. Памятка по выполнению анализа слов (2 экземпляра)</w:t>
      </w:r>
    </w:p>
    <w:p w14:paraId="000000CD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 xml:space="preserve">1. </w:t>
      </w: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Выделите корень.</w:t>
      </w:r>
    </w:p>
    <w:p w14:paraId="000000CE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 xml:space="preserve">2. </w:t>
      </w: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Посмотрите, какие буквы чередуются. Сформулируйте орфограмму.</w:t>
      </w:r>
    </w:p>
    <w:p w14:paraId="000000CF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3. Расставьте ударение. Сформулируйте условия написание буквы.</w:t>
      </w:r>
    </w:p>
    <w:p w14:paraId="000000D0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4. Что объединяет эти слова? Сформулируйте значение корня.</w:t>
      </w:r>
    </w:p>
    <w:p w14:paraId="000000D1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5. Опираясь на проделанную работу, сформулируйте правило.</w:t>
      </w:r>
    </w:p>
    <w:p w14:paraId="000000D2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  <w:t>6. Приведите по два примера для каждого условия написания буквы в корне. Всего у вас получится четыре примера.</w:t>
      </w:r>
    </w:p>
    <w:p w14:paraId="000000D3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4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5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6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7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8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9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A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B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C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D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E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DF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E0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E1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E2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E3">
      <w:pPr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4"/>
          <w:szCs w:val="24"/>
          <w:lang w:val="ru-RU"/>
        </w:rPr>
      </w:pPr>
    </w:p>
    <w:p w14:paraId="000000E4">
      <w:pPr>
        <w:ind w:left="0" w:right="0" w:firstLine="0"/>
        <w:jc w:val="center"/>
        <w:rPr>
          <w:rFonts w:ascii="Times New Roman" w:cs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Приложение 4. Раскраска “Сыщи</w:t>
      </w: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к в поиске орфограмм”</w:t>
      </w:r>
    </w:p>
    <w:p w14:paraId="000000E5">
      <w:pPr>
        <w:rPr>
          <w:lang w:val="ru-RU"/>
        </w:rPr>
      </w:pPr>
      <w:r>
        <w:rPr>
          <w:lang w:val="ru-RU"/>
        </w:rPr>
        <mc:AlternateContent>
          <mc:Choice Requires="wps">
            <w:drawing xmlns:mc="http://schemas.openxmlformats.org/markup-compatibility/2006">
              <wp:anchor allowOverlap="1" behindDoc="0" distT="0" distB="0" distL="118872" distR="118872" layoutInCell="1" locked="0" relativeHeight="2" simplePos="0">
                <wp:simplePos x="0" y="0"/>
                <wp:positionH relativeFrom="margin">
                  <wp:posOffset>3773805</wp:posOffset>
                </wp:positionH>
                <wp:positionV relativeFrom="margin">
                  <wp:posOffset>1999615</wp:posOffset>
                </wp:positionV>
                <wp:extent cx="2475865" cy="1130300"/>
                <wp:effectExtent l="0" t="0" r="0" b="0"/>
                <wp:wrapNone/>
                <wp:docPr id="90" name="Текст.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85" name="Текст. поле 2"/>
                      <wps:cNvSpPr txBox="1"/>
                      <wps:spPr>
                        <a:xfrm>
                          <a:off x="0" y="0"/>
                          <a:ext cx="2475865" cy="134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2">
                        <w:txbxContent>
                          <w:p w14:paraId="000000E6">
                            <w:pPr>
                              <w:rPr>
                                <w:rFonts w:ascii="Times New Roman" w:cs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bCs/>
                                <w:sz w:val="24"/>
                                <w:szCs w:val="24"/>
                                <w:lang w:val="ru-RU"/>
                              </w:rPr>
                              <w:t xml:space="preserve">Раскрасьте сыщика: </w:t>
                            </w:r>
                            <w:r>
                              <w:rPr>
                                <w:rFonts w:ascii="Times New Roman" w:cs="Times New Roman" w:hAnsi="Times New Roman"/>
                                <w:b/>
                                <w:bCs/>
                                <w:sz w:val="24"/>
                                <w:szCs w:val="24"/>
                                <w:lang w:val="ru-RU"/>
                              </w:rPr>
                              <w:t xml:space="preserve">используйте синий цвет, если в слове пишется буква О. </w:t>
                            </w:r>
                          </w:p>
                          <w:p w14:paraId="000000E7">
                            <w:pPr>
                              <w:rPr>
                                <w:rFonts w:ascii="Times New Roman" w:cs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bCs/>
                                <w:sz w:val="24"/>
                                <w:szCs w:val="24"/>
                                <w:lang w:val="ru-RU"/>
                              </w:rPr>
                              <w:t>Если в слове пишется буква А, используйте красный цвет.</w:t>
                            </w:r>
                          </w:p>
                        </w:txbxContent>
                      </wps:txbx>
                      <wps:bodyPr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5A29B17-924E-2F01-4A4554318A8E" coordsize="21600,21600" style="position:absolute;width:194.95pt;height:106.2pt;margin-top:157.45pt;margin-left:297.15pt;mso-wrap-distance-left:9.36pt;mso-wrap-distance-right:9.36pt;mso-wrap-distance-top:0pt;mso-wrap-distance-bottom:0pt;mso-position-horizontal-relative:margin;mso-position-vertical-relative:margin;rotation:0.000000;z-index:2;" fillcolor="#ffffff" stroked="f" o:spt="1" path="m0,0 l0,21600 r21600,0 l21600,0 x e">
                <w10:wrap side="both"/>
                <v:fill type="solid" color="#ffffff" opacity="1.000000"/>
                <o:lock/>
              </v:shape>
            </w:pict>
          </mc:Fallback>
        </mc:AlternateContent>
      </w:r>
      <w:r>
        <w:rPr>
          <w:lang w:val="ru-RU"/>
        </w:rPr>
        <w:t xml:space="preserve">. </w:t>
      </w:r>
      <w:r>
        <w:rPr>
          <w:lang w:val="ru-RU"/>
        </w:rPr>
        <w:drawing xmlns:mc="http://schemas.openxmlformats.org/markup-compatibility/2006">
          <wp:inline distT="0" distB="0" distL="118872" distR="118872">
            <wp:extent cx="3902710" cy="4204335"/>
            <wp:effectExtent l="0" t="0" r="0" b="0"/>
            <wp:docPr id="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2"/>
                    <pic:cNvPicPr>
                      <a:picLocks noGrp="0" noSelect="0" noChangeAspect="1" noMove="0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2710" cy="420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E8"/>
    <w:p w14:paraId="000000E9"/>
    <w:p w14:paraId="000000EA"/>
    <w:p w14:paraId="000000EB"/>
    <w:p w14:paraId="000000EC"/>
    <w:p w14:paraId="000000ED"/>
    <w:p w14:paraId="000000EE"/>
    <w:p w14:paraId="000000EF"/>
    <w:p w14:paraId="000000F0"/>
    <w:p w14:paraId="000000F1"/>
    <w:p w14:paraId="000000F2"/>
    <w:p w14:paraId="000000F3"/>
    <w:p w14:paraId="000000F4">
      <w:pPr>
        <w:jc w:val="center"/>
        <w:rPr/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 xml:space="preserve">Приложение 5. Рабочий лист для индивидуальной работы </w:t>
      </w:r>
      <w:r>
        <w:rPr/>
        <w:drawing xmlns:mc="http://schemas.openxmlformats.org/markup-compatibility/2006">
          <wp:inline distT="0" distB="0" distL="118872" distR="118872">
            <wp:extent cx="5731510" cy="8145780"/>
            <wp:effectExtent l="0" t="0" r="0" b="0"/>
            <wp:docPr id="9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72"/>
                    <pic:cNvPicPr>
                      <a:picLocks noGrp="0" noSelect="0" noChangeAspect="1" noMove="0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F5"/>
    <w:p w14:paraId="000000F6"/>
    <w:p w14:paraId="000000F7">
      <w:pPr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Приложение 6.</w:t>
      </w:r>
    </w:p>
    <w:p w14:paraId="000000F8">
      <w:pPr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Листы для заполнения информации о группе (2 экземпляра)</w:t>
      </w:r>
    </w:p>
    <w:p w14:paraId="000000F9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ru-RU"/>
        </w:rPr>
        <w:t>Капитан команды: ____________________________________</w:t>
      </w:r>
    </w:p>
    <w:p w14:paraId="000000FA">
      <w:pPr>
        <w:jc w:val="left"/>
        <w:rPr>
          <w:rFonts w:ascii="Times New Roman" w:cs="Times New Roman" w:hAnsi="Times New Roman"/>
          <w:color w:val="2c2d2e"/>
          <w:sz w:val="24"/>
          <w:szCs w:val="24"/>
          <w:rtl w:val="off"/>
          <w:lang w:val="ru-RU"/>
        </w:rPr>
      </w:pPr>
      <w:r>
        <w:rPr>
          <w:rFonts w:ascii="Times New Roman" w:cs="Times New Roman" w:hAnsi="Times New Roman"/>
          <w:color w:val="2c2d2e"/>
          <w:sz w:val="24"/>
          <w:szCs w:val="24"/>
          <w:rtl w:val="off"/>
          <w:lang w:val="ru-RU"/>
        </w:rPr>
        <w:t xml:space="preserve">Следователь-аналитик 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</w:t>
      </w:r>
    </w:p>
    <w:p w14:paraId="000000FB">
      <w:pPr>
        <w:jc w:val="left"/>
        <w:rPr>
          <w:rFonts w:ascii="Times New Roman" w:cs="Times New Roman" w:hAnsi="Times New Roman"/>
          <w:color w:val="2c2d2e"/>
          <w:sz w:val="24"/>
          <w:szCs w:val="24"/>
          <w:rtl w:val="off"/>
          <w:lang w:val="ru-RU"/>
        </w:rPr>
      </w:pPr>
      <w:r>
        <w:rPr>
          <w:rFonts w:ascii="Times New Roman" w:cs="Times New Roman" w:hAnsi="Times New Roman"/>
          <w:color w:val="2c2d2e"/>
          <w:sz w:val="24"/>
          <w:szCs w:val="24"/>
          <w:rtl w:val="off"/>
          <w:lang w:val="ru-RU"/>
        </w:rPr>
        <w:t xml:space="preserve">Эксперт-лингвист 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______________________________________</w:t>
      </w:r>
    </w:p>
    <w:p w14:paraId="000000FC">
      <w:pPr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color w:val="2c2d2e"/>
          <w:sz w:val="24"/>
          <w:szCs w:val="24"/>
          <w:rtl w:val="off"/>
          <w:lang w:val="ru-RU"/>
        </w:rPr>
        <w:t xml:space="preserve">Архивариус-документовод </w:t>
      </w:r>
      <w:r>
        <w:rPr>
          <w:rFonts w:ascii="Times New Roman" w:cs="Times New Roman" w:hAnsi="Times New Roman"/>
          <w:sz w:val="24"/>
          <w:szCs w:val="24"/>
          <w:lang w:val="ru-RU"/>
        </w:rPr>
        <w:t xml:space="preserve"> _______________________________</w:t>
      </w:r>
    </w:p>
    <w:p w14:paraId="000000FD">
      <w:pPr>
        <w:jc w:val="left"/>
        <w:rPr>
          <w:rFonts w:ascii="Times New Roman" w:cs="Times New Roman" w:hAnsi="Times New Roman"/>
          <w:sz w:val="24"/>
          <w:szCs w:val="24"/>
        </w:rPr>
      </w:pPr>
    </w:p>
    <w:p w14:paraId="000000FE"/>
    <w:p w14:paraId="000000F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180" w:line="240" w:lineRule="auto"/>
        <w:ind w:left="0" w:right="0" w:firstLine="0"/>
        <w:jc w:val="left"/>
        <w:rPr>
          <w:rFonts w:ascii="Arial"/>
          <w:color w:val="2c2d2e"/>
          <w:sz w:val="33"/>
          <w:lang w:val="en-US"/>
        </w:rPr>
      </w:pPr>
    </w:p>
    <w:p w14:paraId="00000100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1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2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3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4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5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6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7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8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9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A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B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C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D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E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0F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10">
      <w:pPr>
        <w:ind w:right="0"/>
        <w:jc w:val="left"/>
        <w:rPr>
          <w:rFonts w:ascii="Times New Roman" w:cs="Times New Roman" w:hAnsi="Times New Roman"/>
          <w:sz w:val="24"/>
          <w:szCs w:val="24"/>
        </w:rPr>
      </w:pPr>
    </w:p>
    <w:p w14:paraId="00000111">
      <w:pPr>
        <w:ind w:right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  <w:lang w:val="ru-RU"/>
        </w:rPr>
        <w:t>Приложение 8. Текст с пропущенными словами</w:t>
      </w:r>
    </w:p>
    <w:p w14:paraId="00000112">
      <w:pPr>
        <w:framePr w:w="0" w:h="0" w:vAnchor="margin" w:hAnchor="text" w:x="0" w:y="0"/>
        <w:keepNext w:val="off"/>
        <w:keepLines w:val="off"/>
        <w:pageBreakBefore w:val="off"/>
        <w:widowControl w:val="on"/>
        <w:pBdr>
          <w:top w:val="nil" w:sz="4" w:space="0"/>
          <w:left w:val="nil" w:sz="4" w:space="0"/>
          <w:bottom w:val="nil" w:sz="4" w:space="0"/>
          <w:right w:val="nil" w:sz="4" w:space="0"/>
          <w:between w:val="nil" w:sz="4" w:space="0"/>
          <w:bar w:val="nil" w:sz="4" w:space="0"/>
        </w:pBdr>
        <w:shd w:val="nil" w:color="auto" w:fill="auto"/>
        <w:bidi w:val="off"/>
        <w:spacing w:before="0" w:after="0" w:line="216" w:lineRule="auto"/>
        <w:ind w:left="0" w:right="0" w:firstLine="0"/>
        <w:contextualSpacing w:val="off"/>
        <w:jc w:val="both"/>
        <w:rPr>
          <w:rFonts w:ascii="Times New Roman" w:cs="Times New Roman" w:eastAsiaTheme="majorEastAsia" w:hAnsi="Times New Roman" w:hint="default"/>
          <w:b w:val="off"/>
          <w:bCs w:val="off"/>
          <w:i/>
          <w:iCs/>
          <w:caps w:val="off"/>
          <w:smallCaps w:val="off"/>
          <w:outline w:val="off"/>
          <w:shadow w:val="off"/>
          <w:emboss w:val="off"/>
          <w:imprint w:val="off"/>
          <w:vanish w:val="off"/>
          <w:color w:val="3d4c5f" w:themeColor="text2" w:themeShade="e6"/>
          <w:spacing w:val="0"/>
          <w:w w:val="100"/>
          <w:position w:val="0"/>
          <w:sz w:val="24"/>
          <w:szCs w:val="24"/>
          <w:highlight w:val="none"/>
          <w:u w:val="none"/>
          <w:bdr w:val="nil" w:sz="4" w:space="0"/>
          <w:shd w:val="nil" w:color="auto" w:fill="auto"/>
          <w:vertAlign w:val="baseline"/>
          <w:rtl w:val="off"/>
          <w:cs w:val="off"/>
          <w:lang w:val="ru-RU"/>
        </w:rPr>
      </w:pPr>
      <w:r>
        <w:rPr>
          <w:rFonts w:ascii="Times New Roman" w:cs="Times New Roman" w:eastAsiaTheme="majorEastAsia" w:hAnsi="Times New Roman" w:hint="default"/>
          <w:b w:val="off"/>
          <w:bCs w:val="off"/>
          <w:i/>
          <w:iCs/>
          <w:caps w:val="off"/>
          <w:smallCaps w:val="off"/>
          <w:outline w:val="off"/>
          <w:shadow w:val="off"/>
          <w:emboss w:val="off"/>
          <w:imprint w:val="off"/>
          <w:vanish w:val="off"/>
          <w:color w:val="3d4c5f" w:themeColor="text2" w:themeShade="e6"/>
          <w:spacing w:val="0"/>
          <w:w w:val="100"/>
          <w:position w:val="0"/>
          <w:sz w:val="24"/>
          <w:szCs w:val="24"/>
          <w:highlight w:val="none"/>
          <w:u w:val="none"/>
          <w:bdr w:val="nil" w:sz="4" w:space="0"/>
          <w:shd w:val="nil" w:color="auto" w:fill="auto"/>
          <w:vertAlign w:val="baseline"/>
          <w:rtl w:val="off"/>
          <w:cs w:val="off"/>
          <w:lang w:val="ru-RU"/>
        </w:rPr>
        <w:t>Опираясь на слова для справок, вставьте подходящие по смыслу слова.</w:t>
      </w:r>
    </w:p>
    <w:p w14:paraId="00000113">
      <w:pPr>
        <w:jc w:val="both"/>
        <w:rPr>
          <w:rFonts w:ascii="Times New Roman" w:cs="Times New Roman" w:hAnsi="Times New Roman"/>
          <w:b/>
          <w:bCs/>
          <w:sz w:val="24"/>
          <w:szCs w:val="24"/>
        </w:rPr>
      </w:pPr>
    </w:p>
    <w:p w14:paraId="00000114">
      <w:pPr>
        <w:pageBreakBefore w:val="off"/>
        <w:bidi w:val="off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Утренняя заря</w:t>
      </w:r>
    </w:p>
    <w:p w14:paraId="00000115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Ранним утром, когда _____ только _____ небо, мы отправились в путь. Солнце ещё не взошло, но на горизонте уже _____  алый свет. Мы шли по тропинке, а вокруг _____ росинки на траве, словно маленькие _____ .</w:t>
      </w:r>
    </w:p>
    <w:p w14:paraId="00000116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Слова для справок: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загорелся, заря, озарила, зори, горели.</w:t>
      </w:r>
    </w:p>
    <w:p w14:paraId="00000117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</w:p>
    <w:p w14:paraId="00000118">
      <w:pPr>
        <w:pageBreakBefore w:val="off"/>
        <w:bidi w:val="off"/>
        <w:jc w:val="center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Утренняя заря</w:t>
      </w:r>
    </w:p>
    <w:p w14:paraId="00000119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Ранним утром, когда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заря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только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озарила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небо, мы отправились в путь. Солнце ещё не взошло, но на горизонте уже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алый свет. Мы шли по тропинке, а вокруг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горели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росинки на траве, словно маленькие </w:t>
      </w: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зори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.</w:t>
      </w:r>
    </w:p>
    <w:p w14:paraId="0000011A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  <w:r>
        <w:rPr>
          <w:rFonts w:ascii="Times New Roman" w:cs="Times New Roman" w:hAnsi="Times New Roman" w:hint="default"/>
          <w:b/>
          <w:bCs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Слова для справок: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 xml:space="preserve"> </w:t>
      </w:r>
      <w:r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4"/>
          <w:szCs w:val="24"/>
          <w:u w:val="none"/>
          <w:vertAlign w:val="baseline"/>
          <w:rtl w:val="off"/>
          <w:lang w:val="ru-RU"/>
        </w:rPr>
        <w:t>загорелся, заря, озарила, зори, горели.</w:t>
      </w:r>
    </w:p>
    <w:p w14:paraId="0000011B">
      <w:pPr>
        <w:pageBreakBefore w:val="off"/>
        <w:bidi w:val="off"/>
        <w:jc w:val="both"/>
        <w:rPr>
          <w:rFonts w:ascii="Times New Roman" w:cs="Times New Roman" w:hAnsi="Times New Roman" w:hint="default"/>
          <w:b w:val="off"/>
          <w:bCs w:val="off"/>
          <w:i w:val="off"/>
          <w:iCs w:val="off"/>
          <w:vanish w:val="off"/>
          <w:position w:val="0"/>
          <w:sz w:val="28"/>
          <w:szCs w:val="28"/>
          <w:u w:val="none"/>
          <w:vertAlign w:val="baseline"/>
          <w:rtl w:val="off"/>
          <w:lang w:val="ru-RU"/>
        </w:rPr>
      </w:pPr>
    </w:p>
    <w:p w14:paraId="0000011C">
      <w:pPr>
        <w:ind w:right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</w:p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2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4"/>
  <w:abstractNum w:abstractNumId="5"/>
  <w:abstractNum w:abstractNumId="6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0">
    <w:lvl w:ilvl="0" w:tentative="1">
      <w:start w:val="1"/>
      <w:numFmt w:val="bullet"/>
      <w:isLgl w:val="off"/>
      <w:suff w:val="tab"/>
      <w:lvlText w:val="•"/>
      <w:lvlJc w:val="left"/>
      <w:rPr>
        <w:rFonts w:ascii="Arial" w:hint="default"/>
        <w:b w:val="off"/>
        <w:bCs w:val="off"/>
        <w:i w:val="off"/>
        <w:iCs w:val="off"/>
        <w:caps w:val="off"/>
        <w:smallCaps w:val="off"/>
        <w:outline w:val="off"/>
        <w:shadow w:val="off"/>
        <w:emboss w:val="off"/>
        <w:imprint w:val="off"/>
        <w:vanish w:val="off"/>
        <w:color w:val="000000" w:themeColor="text1" w:themeShade="d9"/>
        <w:spacing w:val="0"/>
        <w:w w:val="100"/>
        <w:position w:val="0"/>
        <w:sz w:val="56"/>
        <w:szCs w:val="20"/>
        <w:highlight w:val="none"/>
        <w:u w:val="none"/>
        <w:bdr w:val="nil" w:sz="4" w:space="0"/>
        <w:shd w:val="nil" w:color="auto" w:fill="auto"/>
        <w:vertAlign w:val="baseline"/>
        <w:rtl w:val="off"/>
        <w:cs w:val="off"/>
      </w:rPr>
    </w:lvl>
    <w:lvl w:ilvl="1" w:tentative="1">
      <w:start w:val="1"/>
      <w:numFmt w:val="bullet"/>
      <w:isLgl w:val="off"/>
      <w:suff w:val="tab"/>
      <w:lvlText w:val="•"/>
      <w:lvlJc w:val="left"/>
      <w:pPr>
        <w:ind w:left="1440" w:hanging="360"/>
      </w:pPr>
    </w:lvl>
    <w:lvl w:ilvl="2" w:tentative="1">
      <w:start w:val="1"/>
      <w:numFmt w:val="bullet"/>
      <w:isLgl w:val="off"/>
      <w:suff w:val="tab"/>
      <w:lvlText w:val="•"/>
      <w:lvlJc w:val="left"/>
      <w:pPr>
        <w:ind w:left="2160" w:hanging="360"/>
      </w:pPr>
    </w:lvl>
    <w:lvl w:ilvl="3" w:tentative="1">
      <w:start w:val="1"/>
      <w:numFmt w:val="bullet"/>
      <w:isLgl w:val="off"/>
      <w:suff w:val="tab"/>
      <w:lvlText w:val="•"/>
      <w:lvlJc w:val="left"/>
      <w:pPr>
        <w:ind w:left="2880" w:hanging="360"/>
      </w:pPr>
    </w:lvl>
    <w:lvl w:ilvl="4" w:tentative="1">
      <w:start w:val="1"/>
      <w:numFmt w:val="bullet"/>
      <w:isLgl w:val="off"/>
      <w:suff w:val="tab"/>
      <w:lvlText w:val="•"/>
      <w:lvlJc w:val="left"/>
      <w:pPr>
        <w:ind w:left="3600" w:hanging="360"/>
      </w:pPr>
    </w:lvl>
    <w:lvl w:ilvl="5" w:tentative="1">
      <w:start w:val="1"/>
      <w:numFmt w:val="bullet"/>
      <w:isLgl w:val="off"/>
      <w:suff w:val="tab"/>
      <w:lvlText w:val="•"/>
      <w:lvlJc w:val="left"/>
      <w:pPr>
        <w:ind w:left="4320" w:hanging="360"/>
      </w:pPr>
    </w:lvl>
    <w:lvl w:ilvl="6" w:tentative="1">
      <w:start w:val="1"/>
      <w:numFmt w:val="bullet"/>
      <w:isLgl w:val="off"/>
      <w:suff w:val="tab"/>
      <w:lvlText w:val="•"/>
      <w:lvlJc w:val="left"/>
      <w:pPr>
        <w:ind w:left="5040" w:hanging="360"/>
      </w:pPr>
    </w:lvl>
    <w:lvl w:ilvl="7" w:tentative="1">
      <w:start w:val="1"/>
      <w:numFmt w:val="bullet"/>
      <w:isLgl w:val="off"/>
      <w:suff w:val="tab"/>
      <w:lvlText w:val="•"/>
      <w:lvlJc w:val="left"/>
      <w:pPr>
        <w:ind w:left="5760" w:hanging="360"/>
      </w:pPr>
    </w:lvl>
    <w:lvl w:ilvl="8" w:tentative="1">
      <w:start w:val="1"/>
      <w:numFmt w:val="bullet"/>
      <w:isLgl w:val="off"/>
      <w:suff w:val="tab"/>
      <w:lvlText w:val="•"/>
      <w:lvlJc w:val="left"/>
      <w:pPr>
        <w:ind w:left="6480" w:hanging="360"/>
      </w:pPr>
    </w:lvl>
  </w:abstractNum>
  <w:abstractNum w:abstractNumId="11">
    <w:lvl w:ilvl="0" w:tentative="1">
      <w:start w:val="1"/>
      <w:numFmt w:val="bullet"/>
      <w:isLgl w:val="off"/>
      <w:suff w:val="tab"/>
      <w:lvlText w:val="•"/>
      <w:lvlJc w:val="left"/>
      <w:rPr>
        <w:rFonts w:ascii="Arial" w:hint="default"/>
        <w:b w:val="off"/>
        <w:bCs w:val="off"/>
        <w:i w:val="off"/>
        <w:iCs w:val="off"/>
        <w:caps w:val="off"/>
        <w:smallCaps w:val="off"/>
        <w:outline w:val="off"/>
        <w:shadow w:val="off"/>
        <w:emboss w:val="off"/>
        <w:imprint w:val="off"/>
        <w:vanish w:val="off"/>
        <w:color w:val="000000" w:themeColor="text1" w:themeShade="d9"/>
        <w:spacing w:val="0"/>
        <w:w w:val="100"/>
        <w:position w:val="0"/>
        <w:sz w:val="56"/>
        <w:szCs w:val="20"/>
        <w:highlight w:val="none"/>
        <w:u w:val="none"/>
        <w:bdr w:val="nil" w:sz="4" w:space="0"/>
        <w:shd w:val="nil" w:color="auto" w:fill="auto"/>
        <w:vertAlign w:val="baseline"/>
        <w:rtl w:val="off"/>
        <w:cs w:val="off"/>
      </w:rPr>
    </w:lvl>
    <w:lvl w:ilvl="1" w:tentative="1">
      <w:start w:val="1"/>
      <w:numFmt w:val="bullet"/>
      <w:isLgl w:val="off"/>
      <w:suff w:val="tab"/>
      <w:lvlText w:val="•"/>
      <w:lvlJc w:val="left"/>
      <w:pPr>
        <w:ind w:left="1440" w:hanging="360"/>
      </w:pPr>
    </w:lvl>
    <w:lvl w:ilvl="2" w:tentative="1">
      <w:start w:val="1"/>
      <w:numFmt w:val="bullet"/>
      <w:isLgl w:val="off"/>
      <w:suff w:val="tab"/>
      <w:lvlText w:val="•"/>
      <w:lvlJc w:val="left"/>
      <w:pPr>
        <w:ind w:left="2160" w:hanging="360"/>
      </w:pPr>
    </w:lvl>
    <w:lvl w:ilvl="3" w:tentative="1">
      <w:start w:val="1"/>
      <w:numFmt w:val="bullet"/>
      <w:isLgl w:val="off"/>
      <w:suff w:val="tab"/>
      <w:lvlText w:val="•"/>
      <w:lvlJc w:val="left"/>
      <w:pPr>
        <w:ind w:left="2880" w:hanging="360"/>
      </w:pPr>
    </w:lvl>
    <w:lvl w:ilvl="4" w:tentative="1">
      <w:start w:val="1"/>
      <w:numFmt w:val="bullet"/>
      <w:isLgl w:val="off"/>
      <w:suff w:val="tab"/>
      <w:lvlText w:val="•"/>
      <w:lvlJc w:val="left"/>
      <w:pPr>
        <w:ind w:left="3600" w:hanging="360"/>
      </w:pPr>
    </w:lvl>
    <w:lvl w:ilvl="5" w:tentative="1">
      <w:start w:val="1"/>
      <w:numFmt w:val="bullet"/>
      <w:isLgl w:val="off"/>
      <w:suff w:val="tab"/>
      <w:lvlText w:val="•"/>
      <w:lvlJc w:val="left"/>
      <w:pPr>
        <w:ind w:left="4320" w:hanging="360"/>
      </w:pPr>
    </w:lvl>
    <w:lvl w:ilvl="6" w:tentative="1">
      <w:start w:val="1"/>
      <w:numFmt w:val="bullet"/>
      <w:isLgl w:val="off"/>
      <w:suff w:val="tab"/>
      <w:lvlText w:val="•"/>
      <w:lvlJc w:val="left"/>
      <w:pPr>
        <w:ind w:left="5040" w:hanging="360"/>
      </w:pPr>
    </w:lvl>
    <w:lvl w:ilvl="7" w:tentative="1">
      <w:start w:val="1"/>
      <w:numFmt w:val="bullet"/>
      <w:isLgl w:val="off"/>
      <w:suff w:val="tab"/>
      <w:lvlText w:val="•"/>
      <w:lvlJc w:val="left"/>
      <w:pPr>
        <w:ind w:left="5760" w:hanging="360"/>
      </w:pPr>
    </w:lvl>
    <w:lvl w:ilvl="8" w:tentative="1">
      <w:start w:val="1"/>
      <w:numFmt w:val="bullet"/>
      <w:isLgl w:val="off"/>
      <w:suff w:val="tab"/>
      <w:lvlText w:val="•"/>
      <w:lvlJc w:val="left"/>
      <w:pPr>
        <w:ind w:left="6480" w:hanging="360"/>
      </w:pPr>
    </w:lvl>
  </w:abstractNum>
  <w:abstractNum w:abstractNumId="12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lvl w:ilvl="0" w:tentative="1">
        <w:numFmt w:val="bullet"/>
        <w:suff w:val="tab"/>
        <w:lvlText w:val="·"/>
        <w:rPr/>
      </w:lvl>
    </w:lvlOverride>
  </w:num>
  <w:num w:numId="6">
    <w:abstractNumId w:val="5"/>
    <w:lvlOverride w:ilvl="0">
      <w:lvl w:ilvl="0" w:tentative="1">
        <w:numFmt w:val="bullet"/>
        <w:suff w:val="tab"/>
        <w:lvlText w:val="·"/>
        <w:rPr/>
      </w:lvl>
    </w:lvlOverride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27" Type="http://schemas.openxmlformats.org/officeDocument/2006/relationships/image" Target="media/image3.png"/><Relationship Id="rId28" Type="http://schemas.openxmlformats.org/officeDocument/2006/relationships/image" Target="media/image4.png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Huawei</cp:lastModifiedBy>
</cp:coreProperties>
</file>