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tabs>
          <w:tab w:val="left" w:leader="none" w:pos="2790"/>
        </w:tabs>
        <w:spacing w:after="0" w:lineRule="auto" w:line="240"/>
        <w:ind w:left="0" w:right="1253" w:firstLine="0"/>
        <w:jc w:val="left"/>
        <w:rPr>
          <w:rFonts w:ascii="Times New Roman" w:cs="Times New Roman" w:hAnsi="Times New Roman"/>
          <w:b/>
          <w:sz w:val="28"/>
          <w:szCs w:val="26"/>
        </w:rPr>
      </w:pPr>
    </w:p>
    <w:p>
      <w:pPr>
        <w:pStyle w:val="style0"/>
        <w:tabs>
          <w:tab w:val="left" w:leader="none" w:pos="2790"/>
        </w:tabs>
        <w:spacing w:after="0" w:lineRule="auto" w:line="240"/>
        <w:ind w:left="11" w:right="1253" w:hanging="11"/>
        <w:jc w:val="both"/>
        <w:rPr>
          <w:rFonts w:ascii="Times New Roman" w:cs="Times New Roman" w:hAnsi="Times New Roman"/>
          <w:sz w:val="28"/>
          <w:szCs w:val="26"/>
        </w:rPr>
      </w:pPr>
    </w:p>
    <w:p>
      <w:pPr>
        <w:pStyle w:val="style0"/>
        <w:tabs>
          <w:tab w:val="left" w:leader="none" w:pos="2790"/>
        </w:tabs>
        <w:spacing w:after="0" w:lineRule="auto" w:line="240"/>
        <w:ind w:left="11" w:right="1253" w:hanging="11"/>
        <w:jc w:val="left"/>
        <w:rPr>
          <w:rFonts w:ascii="Times New Roman" w:cs="Times New Roman" w:hAnsi="Times New Roman"/>
          <w:sz w:val="28"/>
          <w:szCs w:val="26"/>
        </w:rPr>
      </w:pPr>
    </w:p>
    <w:p>
      <w:pPr>
        <w:pStyle w:val="style0"/>
        <w:spacing w:after="0" w:lineRule="auto" w:line="240"/>
        <w:ind w:left="11" w:right="1253" w:hanging="11"/>
        <w:jc w:val="center"/>
        <w:rPr>
          <w:rFonts w:ascii="Times New Roman" w:cs="Times New Roman" w:hAnsi="Times New Roman"/>
          <w:sz w:val="28"/>
          <w:szCs w:val="26"/>
        </w:rPr>
      </w:pPr>
    </w:p>
    <w:p>
      <w:pPr>
        <w:pStyle w:val="style0"/>
        <w:spacing w:after="0" w:lineRule="auto" w:line="240"/>
        <w:ind w:left="11" w:right="1253" w:hanging="11"/>
        <w:jc w:val="center"/>
        <w:rPr>
          <w:rFonts w:ascii="Times New Roman" w:cs="Times New Roman" w:hAnsi="Times New Roman"/>
          <w:sz w:val="28"/>
          <w:szCs w:val="26"/>
        </w:rPr>
      </w:pPr>
    </w:p>
    <w:p>
      <w:pPr>
        <w:pStyle w:val="style0"/>
        <w:spacing w:after="0" w:lineRule="auto" w:line="240"/>
        <w:ind w:left="11" w:right="1253" w:hanging="11"/>
        <w:jc w:val="center"/>
        <w:rPr>
          <w:rFonts w:ascii="Times New Roman" w:cs="Times New Roman" w:hAnsi="Times New Roman"/>
          <w:sz w:val="28"/>
          <w:szCs w:val="26"/>
        </w:rPr>
      </w:pPr>
    </w:p>
    <w:p>
      <w:pPr>
        <w:pStyle w:val="style0"/>
        <w:spacing w:after="0" w:lineRule="auto" w:line="240"/>
        <w:ind w:left="11" w:right="1253" w:hanging="11"/>
        <w:jc w:val="both"/>
        <w:rPr>
          <w:rFonts w:ascii="Times New Roman" w:cs="Times New Roman" w:hAnsi="Times New Roman"/>
          <w:b/>
          <w:sz w:val="28"/>
          <w:szCs w:val="26"/>
          <w:u w:val="single"/>
        </w:rPr>
      </w:pPr>
      <w:r>
        <w:rPr>
          <w:rFonts w:ascii="Times New Roman" w:cs="Times New Roman" w:hAnsi="Times New Roman"/>
          <w:b/>
          <w:sz w:val="28"/>
          <w:szCs w:val="26"/>
          <w:u w:val="single"/>
        </w:rPr>
        <w:t xml:space="preserve"> </w:t>
      </w:r>
      <w:r>
        <w:rPr>
          <w:rFonts w:ascii="Times New Roman" w:cs="Times New Roman" w:hAnsi="Times New Roman"/>
          <w:b/>
          <w:sz w:val="28"/>
          <w:szCs w:val="26"/>
          <w:u w:val="single"/>
          <w:lang w:val="en-US"/>
        </w:rPr>
        <w:t xml:space="preserve">МЕТОДИЧЕСКАЯ </w:t>
      </w:r>
      <w:r>
        <w:rPr>
          <w:rFonts w:ascii="Times New Roman" w:cs="Times New Roman" w:hAnsi="Times New Roman"/>
          <w:b/>
          <w:sz w:val="28"/>
          <w:szCs w:val="26"/>
          <w:u w:val="single"/>
        </w:rPr>
        <w:t xml:space="preserve"> </w:t>
      </w:r>
      <w:r>
        <w:rPr>
          <w:rFonts w:ascii="Times New Roman" w:cs="Times New Roman" w:hAnsi="Times New Roman"/>
          <w:b/>
          <w:sz w:val="28"/>
          <w:szCs w:val="26"/>
          <w:u w:val="single"/>
          <w:lang w:val="en-US"/>
        </w:rPr>
        <w:t>РАЗ</w:t>
      </w:r>
      <w:r>
        <w:rPr>
          <w:rFonts w:ascii="Times New Roman" w:cs="Times New Roman" w:hAnsi="Times New Roman"/>
          <w:b/>
          <w:sz w:val="28"/>
          <w:szCs w:val="26"/>
          <w:u w:val="single"/>
        </w:rPr>
        <w:t>РАБОТ</w:t>
      </w:r>
      <w:r>
        <w:rPr>
          <w:rFonts w:ascii="Times New Roman" w:cs="Times New Roman" w:hAnsi="Times New Roman"/>
          <w:b/>
          <w:sz w:val="28"/>
          <w:szCs w:val="26"/>
          <w:u w:val="single"/>
          <w:lang w:val="en-US"/>
        </w:rPr>
        <w:t>КА</w:t>
      </w:r>
    </w:p>
    <w:p>
      <w:pPr>
        <w:pStyle w:val="style0"/>
        <w:spacing w:after="0" w:lineRule="auto" w:line="240"/>
        <w:ind w:left="11" w:right="1253" w:hanging="11"/>
        <w:jc w:val="center"/>
        <w:rPr>
          <w:rFonts w:ascii="Times New Roman" w:cs="Times New Roman" w:hAnsi="Times New Roman"/>
          <w:sz w:val="28"/>
          <w:szCs w:val="26"/>
        </w:rPr>
      </w:pPr>
    </w:p>
    <w:p>
      <w:pPr>
        <w:pStyle w:val="style0"/>
        <w:spacing w:after="0" w:lineRule="auto" w:line="240"/>
        <w:ind w:left="11" w:right="1253" w:hanging="11"/>
        <w:jc w:val="center"/>
        <w:rPr>
          <w:rFonts w:ascii="Times New Roman" w:cs="Times New Roman" w:hAnsi="Times New Roman"/>
          <w:sz w:val="28"/>
          <w:szCs w:val="26"/>
        </w:rPr>
      </w:pPr>
    </w:p>
    <w:p>
      <w:pPr>
        <w:pStyle w:val="style0"/>
        <w:spacing w:after="0" w:lineRule="auto" w:line="240"/>
        <w:ind w:left="11" w:right="1253" w:hanging="11"/>
        <w:jc w:val="center"/>
        <w:rPr>
          <w:rFonts w:ascii="Times New Roman" w:cs="Times New Roman" w:hAnsi="Times New Roman"/>
          <w:b/>
          <w:sz w:val="28"/>
          <w:szCs w:val="26"/>
        </w:rPr>
      </w:pPr>
      <w:r>
        <w:rPr>
          <w:rFonts w:ascii="Times New Roman" w:cs="Times New Roman" w:hAnsi="Times New Roman"/>
          <w:bCs/>
          <w:sz w:val="26"/>
          <w:szCs w:val="26"/>
          <w:lang w:eastAsia="en-US"/>
        </w:rPr>
        <w:t>Проектирование специальных условий организации образовательного процесса обучающихся с ОВЗ и/или инвалидностью</w:t>
      </w:r>
    </w:p>
    <w:p>
      <w:pPr>
        <w:pStyle w:val="style0"/>
        <w:spacing w:after="0" w:lineRule="auto" w:line="240"/>
        <w:ind w:left="11" w:right="1253" w:hanging="11"/>
        <w:jc w:val="center"/>
        <w:rPr>
          <w:rFonts w:ascii="Times New Roman" w:cs="Times New Roman" w:hAnsi="Times New Roman"/>
          <w:sz w:val="28"/>
          <w:szCs w:val="26"/>
        </w:rPr>
      </w:pPr>
    </w:p>
    <w:p>
      <w:pPr>
        <w:pStyle w:val="style0"/>
        <w:spacing w:after="0" w:lineRule="auto" w:line="240"/>
        <w:ind w:left="11" w:right="1253" w:hanging="11"/>
        <w:jc w:val="both"/>
        <w:rPr>
          <w:rFonts w:ascii="Times New Roman" w:cs="Times New Roman" w:hAnsi="Times New Roman"/>
          <w:sz w:val="28"/>
          <w:szCs w:val="26"/>
        </w:rPr>
      </w:pPr>
    </w:p>
    <w:p>
      <w:pPr>
        <w:pStyle w:val="style0"/>
        <w:spacing w:after="0" w:lineRule="auto" w:line="240"/>
        <w:ind w:left="11" w:right="1253" w:hanging="11"/>
        <w:jc w:val="both"/>
        <w:rPr>
          <w:rFonts w:ascii="Times New Roman" w:cs="Times New Roman" w:hAnsi="Times New Roman"/>
          <w:sz w:val="28"/>
          <w:szCs w:val="26"/>
        </w:rPr>
      </w:pPr>
    </w:p>
    <w:p>
      <w:pPr>
        <w:pStyle w:val="style0"/>
        <w:spacing w:after="0" w:lineRule="auto" w:line="240"/>
        <w:ind w:left="11" w:right="1253" w:hanging="11"/>
        <w:jc w:val="both"/>
        <w:rPr>
          <w:rFonts w:ascii="Times New Roman" w:cs="Times New Roman" w:hAnsi="Times New Roman"/>
          <w:sz w:val="28"/>
          <w:szCs w:val="26"/>
        </w:rPr>
      </w:pPr>
    </w:p>
    <w:p>
      <w:pPr>
        <w:pStyle w:val="style0"/>
        <w:spacing w:after="0" w:lineRule="auto" w:line="240"/>
        <w:ind w:left="11" w:right="1253" w:hanging="11"/>
        <w:jc w:val="both"/>
        <w:rPr>
          <w:rFonts w:ascii="Times New Roman" w:cs="Times New Roman" w:hAnsi="Times New Roman"/>
          <w:sz w:val="28"/>
          <w:szCs w:val="26"/>
        </w:rPr>
      </w:pPr>
    </w:p>
    <w:p>
      <w:pPr>
        <w:pStyle w:val="style0"/>
        <w:spacing w:after="0" w:lineRule="auto" w:line="240"/>
        <w:ind w:left="11" w:right="1253" w:hanging="11"/>
        <w:jc w:val="both"/>
        <w:rPr>
          <w:rFonts w:ascii="Times New Roman" w:cs="Times New Roman" w:hAnsi="Times New Roman"/>
          <w:sz w:val="28"/>
          <w:szCs w:val="26"/>
        </w:rPr>
      </w:pPr>
      <w:r>
        <w:rPr>
          <w:rFonts w:ascii="Times New Roman" w:cs="Times New Roman" w:hAnsi="Times New Roman"/>
          <w:sz w:val="28"/>
          <w:szCs w:val="26"/>
        </w:rPr>
        <w:t xml:space="preserve">Разработчик                 </w:t>
      </w:r>
      <w:r>
        <w:rPr>
          <w:rFonts w:ascii="Times New Roman" w:cs="Times New Roman" w:hAnsi="Times New Roman"/>
          <w:sz w:val="28"/>
          <w:szCs w:val="26"/>
          <w:u w:val="single"/>
        </w:rPr>
        <w:t>Бортникова Евгения Сергеевна</w:t>
      </w:r>
    </w:p>
    <w:p>
      <w:pPr>
        <w:pStyle w:val="style0"/>
        <w:spacing w:after="0" w:lineRule="auto" w:line="240"/>
        <w:ind w:left="0" w:right="1253" w:firstLine="0"/>
        <w:jc w:val="left"/>
        <w:rPr>
          <w:rFonts w:ascii="Times New Roman" w:cs="Times New Roman" w:hAnsi="Times New Roman"/>
          <w:sz w:val="28"/>
          <w:szCs w:val="26"/>
        </w:rPr>
      </w:pPr>
    </w:p>
    <w:p>
      <w:pPr>
        <w:pStyle w:val="style0"/>
        <w:spacing w:after="0" w:lineRule="auto" w:line="240"/>
        <w:ind w:left="11" w:right="1253" w:hanging="11"/>
        <w:jc w:val="center"/>
        <w:rPr>
          <w:rFonts w:ascii="Times New Roman" w:cs="Times New Roman" w:hAnsi="Times New Roman"/>
          <w:sz w:val="28"/>
          <w:szCs w:val="26"/>
          <w:u w:val="single"/>
        </w:rPr>
      </w:pPr>
    </w:p>
    <w:p>
      <w:pPr>
        <w:pStyle w:val="style0"/>
        <w:spacing w:after="0" w:lineRule="auto" w:line="240"/>
        <w:ind w:left="11" w:right="1253" w:hanging="11"/>
        <w:jc w:val="center"/>
        <w:rPr>
          <w:rFonts w:ascii="Times New Roman" w:cs="Times New Roman" w:hAnsi="Times New Roman"/>
          <w:sz w:val="28"/>
          <w:szCs w:val="26"/>
          <w:u w:val="single"/>
        </w:rPr>
      </w:pPr>
      <w:r>
        <w:rPr>
          <w:rFonts w:ascii="Times New Roman" w:cs="Times New Roman" w:hAnsi="Times New Roman"/>
          <w:sz w:val="28"/>
          <w:szCs w:val="26"/>
          <w:u w:val="single"/>
        </w:rPr>
        <w:t xml:space="preserve">      учитель английского языка</w:t>
      </w:r>
    </w:p>
    <w:p>
      <w:pPr>
        <w:pStyle w:val="style0"/>
        <w:spacing w:after="0" w:lineRule="auto" w:line="240"/>
        <w:ind w:left="11" w:right="1253" w:hanging="11"/>
        <w:jc w:val="left"/>
        <w:rPr>
          <w:rFonts w:ascii="Times New Roman" w:cs="Times New Roman" w:hAnsi="Times New Roman"/>
          <w:sz w:val="28"/>
          <w:szCs w:val="26"/>
        </w:rPr>
      </w:pPr>
    </w:p>
    <w:p>
      <w:pPr>
        <w:pStyle w:val="style0"/>
        <w:spacing w:after="0" w:lineRule="auto" w:line="240"/>
        <w:ind w:left="11" w:right="1253" w:hanging="11"/>
        <w:jc w:val="center"/>
        <w:rPr>
          <w:rFonts w:ascii="Times New Roman" w:cs="Times New Roman" w:hAnsi="Times New Roman"/>
          <w:sz w:val="28"/>
          <w:szCs w:val="26"/>
        </w:rPr>
      </w:pPr>
    </w:p>
    <w:p>
      <w:pPr>
        <w:pStyle w:val="style0"/>
        <w:spacing w:after="0" w:lineRule="auto" w:line="240"/>
        <w:ind w:left="11" w:right="1253" w:hanging="11"/>
        <w:jc w:val="center"/>
        <w:rPr>
          <w:rFonts w:ascii="Times New Roman" w:cs="Times New Roman" w:hAnsi="Times New Roman"/>
          <w:sz w:val="28"/>
          <w:szCs w:val="26"/>
        </w:rPr>
      </w:pPr>
    </w:p>
    <w:p>
      <w:pPr>
        <w:pStyle w:val="style0"/>
        <w:spacing w:after="0" w:lineRule="auto" w:line="240"/>
        <w:ind w:left="11" w:right="1253" w:hanging="11"/>
        <w:jc w:val="left"/>
        <w:rPr>
          <w:rFonts w:ascii="Times New Roman" w:cs="Times New Roman" w:hAnsi="Times New Roman"/>
          <w:sz w:val="28"/>
          <w:szCs w:val="26"/>
        </w:rPr>
      </w:pPr>
    </w:p>
    <w:p>
      <w:pPr>
        <w:pStyle w:val="style0"/>
        <w:spacing w:after="0" w:lineRule="auto" w:line="240"/>
        <w:ind w:left="11" w:right="1253" w:hanging="11"/>
        <w:jc w:val="center"/>
        <w:rPr>
          <w:rFonts w:ascii="Times New Roman" w:cs="Times New Roman" w:hAnsi="Times New Roman"/>
          <w:sz w:val="28"/>
          <w:szCs w:val="26"/>
        </w:rPr>
      </w:pPr>
    </w:p>
    <w:p>
      <w:pPr>
        <w:pStyle w:val="style0"/>
        <w:jc w:val="center"/>
        <w:rPr>
          <w:sz w:val="26"/>
          <w:szCs w:val="26"/>
        </w:rPr>
      </w:pPr>
    </w:p>
    <w:p>
      <w:pPr>
        <w:pStyle w:val="style0"/>
        <w:jc w:val="center"/>
        <w:rPr>
          <w:sz w:val="26"/>
          <w:szCs w:val="26"/>
        </w:rPr>
      </w:pPr>
    </w:p>
    <w:p>
      <w:pPr>
        <w:pStyle w:val="style0"/>
        <w:jc w:val="center"/>
        <w:rPr>
          <w:sz w:val="26"/>
          <w:szCs w:val="26"/>
        </w:rPr>
      </w:pPr>
    </w:p>
    <w:p>
      <w:pPr>
        <w:pStyle w:val="style0"/>
        <w:jc w:val="center"/>
        <w:rPr>
          <w:rFonts w:ascii="Times New Roman" w:cs="Times New Roman" w:hAnsi="Times New Roman"/>
          <w:sz w:val="28"/>
          <w:szCs w:val="26"/>
        </w:rPr>
      </w:pPr>
      <w:r>
        <w:rPr>
          <w:rFonts w:ascii="Times New Roman" w:cs="Times New Roman" w:hAnsi="Times New Roman"/>
          <w:sz w:val="28"/>
          <w:szCs w:val="26"/>
        </w:rPr>
        <w:t>САМАРА,202</w:t>
      </w:r>
      <w:r>
        <w:rPr>
          <w:rFonts w:ascii="Times New Roman" w:cs="Times New Roman" w:hAnsi="Times New Roman"/>
          <w:sz w:val="28"/>
          <w:szCs w:val="26"/>
        </w:rPr>
        <w:t>5</w:t>
      </w:r>
    </w:p>
    <w:p>
      <w:pPr>
        <w:pStyle w:val="style0"/>
        <w:suppressAutoHyphens/>
        <w:spacing w:after="0" w:lineRule="auto" w:line="240"/>
        <w:ind w:right="-1"/>
        <w:jc w:val="center"/>
        <w:rPr>
          <w:rFonts w:ascii="Times New Roman" w:cs="Times New Roman" w:hAnsi="Times New Roman"/>
          <w:b/>
          <w:bCs/>
          <w:sz w:val="26"/>
          <w:szCs w:val="26"/>
          <w:lang w:eastAsia="en-US"/>
        </w:rPr>
      </w:pPr>
    </w:p>
    <w:p>
      <w:pPr>
        <w:pStyle w:val="style0"/>
        <w:suppressAutoHyphens/>
        <w:spacing w:after="0" w:lineRule="auto" w:line="240"/>
        <w:ind w:right="-1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rPr/>
        <w:sectPr>
          <w:pgSz w:w="11906" w:h="16838" w:orient="portrait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pStyle w:val="style0"/>
        <w:widowControl w:val="false"/>
        <w:suppressAutoHyphens/>
        <w:spacing w:after="0" w:lineRule="auto" w:line="240"/>
        <w:rPr>
          <w:rFonts w:ascii="Times New Roman" w:cs="Times New Roman" w:eastAsia="Times New Roman" w:hAnsi="Times New Roman"/>
          <w:color w:val="auto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Таблица 1</w:t>
      </w:r>
      <w:r>
        <w:rPr>
          <w:rFonts w:ascii="Times New Roman" w:cs="Times New Roman" w:hAnsi="Times New Roman"/>
          <w:sz w:val="26"/>
          <w:szCs w:val="26"/>
        </w:rPr>
        <w:t>.</w:t>
      </w:r>
    </w:p>
    <w:p>
      <w:pPr>
        <w:pStyle w:val="style0"/>
        <w:suppressAutoHyphens/>
        <w:spacing w:after="0" w:lineRule="auto" w:line="24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Психолого-педагогическая характеристика обучающихся с ОВЗ и/или инвалидностью</w:t>
      </w:r>
    </w:p>
    <w:p>
      <w:pPr>
        <w:pStyle w:val="style0"/>
        <w:suppressAutoHyphens/>
        <w:spacing w:lineRule="auto" w:line="24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(Нозологическая </w:t>
      </w:r>
      <w:r>
        <w:rPr>
          <w:rFonts w:ascii="Times New Roman" w:cs="Times New Roman" w:hAnsi="Times New Roman"/>
          <w:b/>
          <w:sz w:val="28"/>
          <w:szCs w:val="28"/>
        </w:rPr>
        <w:t>группа задержка</w:t>
      </w:r>
      <w:r>
        <w:rPr>
          <w:rFonts w:ascii="Times New Roman" w:cs="Times New Roman" w:hAnsi="Times New Roman"/>
          <w:b/>
          <w:sz w:val="28"/>
          <w:szCs w:val="28"/>
        </w:rPr>
        <w:t xml:space="preserve"> психического развития</w:t>
      </w:r>
      <w:r>
        <w:rPr>
          <w:rFonts w:ascii="Times New Roman" w:cs="Times New Roman" w:hAnsi="Times New Roman"/>
          <w:b/>
          <w:sz w:val="28"/>
          <w:szCs w:val="28"/>
        </w:rPr>
        <w:t>)</w:t>
      </w:r>
    </w:p>
    <w:p>
      <w:pPr>
        <w:pStyle w:val="style0"/>
        <w:suppressAutoHyphens/>
        <w:spacing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 психологические особенности обучающегося заданной нозологической группы</w:t>
      </w:r>
      <w:r>
        <w:rPr>
          <w:rFonts w:ascii="Times New Roman" w:cs="Times New Roman" w:hAnsi="Times New Roman"/>
          <w:sz w:val="28"/>
          <w:szCs w:val="28"/>
        </w:rPr>
        <w:t>: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>
        <w:trPr/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eastAsia="en-US"/>
              </w:rPr>
              <w:t>Восприятие</w:t>
            </w:r>
          </w:p>
          <w:p>
            <w:pPr>
              <w:pStyle w:val="style179"/>
              <w:numPr>
                <w:ilvl w:val="0"/>
                <w:numId w:val="1"/>
              </w:numPr>
              <w:suppressAutoHyphens/>
              <w:rPr>
                <w:sz w:val="28"/>
                <w:szCs w:val="28"/>
              </w:rPr>
            </w:pPr>
            <w:r>
              <w:rPr>
                <w:sz w:val="28"/>
              </w:rPr>
              <w:t>нарушение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целостного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восприятия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предметов,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объектов;</w:t>
            </w:r>
          </w:p>
          <w:p>
            <w:pPr>
              <w:pStyle w:val="style179"/>
              <w:numPr>
                <w:ilvl w:val="0"/>
                <w:numId w:val="1"/>
              </w:numPr>
              <w:tabs>
                <w:tab w:val="left" w:leader="none" w:pos="858"/>
              </w:tabs>
              <w:ind w:right="126"/>
              <w:rPr>
                <w:sz w:val="28"/>
              </w:rPr>
            </w:pPr>
            <w:r>
              <w:rPr>
                <w:sz w:val="28"/>
              </w:rPr>
              <w:t>нижение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зрительного,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слухового,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тактильно-двигательного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восприятия (трудности узнавания предметов/объектов, в том числе на ощупь)</w:t>
            </w:r>
            <w:r>
              <w:rPr>
                <w:sz w:val="28"/>
              </w:rPr>
              <w:t>.</w:t>
            </w: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uppressAutoHyphens/>
              <w:spacing w:after="0" w:lineRule="auto" w:line="240"/>
              <w:ind w:left="0" w:firstLine="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uppressAutoHyphens/>
              <w:spacing w:after="0" w:lineRule="auto" w:line="240"/>
              <w:ind w:left="0" w:firstLine="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eastAsia="en-US"/>
              </w:rPr>
              <w:t>Внимание</w:t>
            </w:r>
          </w:p>
          <w:p>
            <w:pPr>
              <w:pStyle w:val="style179"/>
              <w:numPr>
                <w:ilvl w:val="0"/>
                <w:numId w:val="13"/>
              </w:numPr>
              <w:tabs>
                <w:tab w:val="left" w:leader="none" w:pos="858"/>
                <w:tab w:val="left" w:leader="none" w:pos="8273"/>
              </w:tabs>
              <w:ind w:right="126"/>
              <w:rPr>
                <w:sz w:val="28"/>
              </w:rPr>
            </w:pPr>
            <w:r>
              <w:rPr>
                <w:sz w:val="28"/>
              </w:rPr>
              <w:t>отмечается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неустойчивость,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нарушение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переключаемости</w:t>
            </w:r>
            <w:r>
              <w:rPr>
                <w:sz w:val="28"/>
              </w:rPr>
              <w:t>;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трудности концентрации;</w:t>
            </w:r>
          </w:p>
          <w:p>
            <w:pPr>
              <w:pStyle w:val="style179"/>
              <w:numPr>
                <w:ilvl w:val="0"/>
                <w:numId w:val="13"/>
              </w:numPr>
              <w:tabs>
                <w:tab w:val="left" w:leader="none" w:pos="928"/>
                <w:tab w:val="left" w:leader="none" w:pos="1956"/>
                <w:tab w:val="left" w:leader="none" w:pos="2578"/>
                <w:tab w:val="left" w:leader="none" w:pos="4524"/>
                <w:tab w:val="left" w:leader="none" w:pos="6596"/>
                <w:tab w:val="left" w:leader="none" w:pos="8137"/>
              </w:tabs>
              <w:ind w:right="126"/>
              <w:rPr>
                <w:sz w:val="28"/>
              </w:rPr>
            </w:pPr>
            <w:r>
              <w:rPr>
                <w:spacing w:val="-2"/>
                <w:sz w:val="28"/>
              </w:rPr>
              <w:t>характерно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ухудшение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распределения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внимания,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замедление деятельности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при наличии дополнительных раздражителей.</w:t>
            </w: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  <w:tr>
        <w:tblPrEx/>
        <w:trPr/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eastAsia="en-US"/>
              </w:rPr>
              <w:t xml:space="preserve">Память </w:t>
            </w:r>
          </w:p>
          <w:p>
            <w:pPr>
              <w:pStyle w:val="style179"/>
              <w:numPr>
                <w:ilvl w:val="0"/>
                <w:numId w:val="15"/>
              </w:numPr>
              <w:suppressAutoHyphens/>
              <w:rPr>
                <w:sz w:val="28"/>
                <w:szCs w:val="28"/>
              </w:rPr>
            </w:pPr>
            <w:r>
              <w:rPr>
                <w:spacing w:val="-2"/>
                <w:sz w:val="28"/>
              </w:rPr>
              <w:t>недостаточный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объем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памяти</w:t>
            </w:r>
            <w:r>
              <w:rPr>
                <w:spacing w:val="-2"/>
                <w:sz w:val="28"/>
              </w:rPr>
              <w:t>;</w:t>
            </w:r>
          </w:p>
          <w:p>
            <w:pPr>
              <w:pStyle w:val="style179"/>
              <w:numPr>
                <w:ilvl w:val="0"/>
                <w:numId w:val="15"/>
              </w:numPr>
              <w:tabs>
                <w:tab w:val="left" w:leader="none" w:pos="858"/>
                <w:tab w:val="left" w:leader="none" w:pos="2634"/>
                <w:tab w:val="left" w:leader="none" w:pos="4839"/>
                <w:tab w:val="left" w:leader="none" w:pos="5955"/>
                <w:tab w:val="left" w:leader="none" w:pos="7264"/>
                <w:tab w:val="left" w:leader="none" w:pos="8450"/>
              </w:tabs>
              <w:ind w:right="125"/>
              <w:rPr>
                <w:sz w:val="28"/>
              </w:rPr>
            </w:pPr>
            <w:r>
              <w:rPr>
                <w:spacing w:val="-2"/>
                <w:sz w:val="28"/>
              </w:rPr>
              <w:t>низкая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скорость запоминания;</w:t>
            </w:r>
          </w:p>
          <w:p>
            <w:pPr>
              <w:pStyle w:val="style179"/>
              <w:numPr>
                <w:ilvl w:val="0"/>
                <w:numId w:val="15"/>
              </w:numPr>
              <w:tabs>
                <w:tab w:val="left" w:leader="none" w:pos="858"/>
                <w:tab w:val="left" w:leader="none" w:pos="6712"/>
              </w:tabs>
              <w:ind w:right="125"/>
              <w:rPr>
                <w:sz w:val="28"/>
              </w:rPr>
            </w:pPr>
            <w:r>
              <w:rPr>
                <w:sz w:val="28"/>
              </w:rPr>
              <w:t>преобладание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механического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запоминания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наглядной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памяти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над </w:t>
            </w:r>
            <w:r>
              <w:rPr>
                <w:spacing w:val="-2"/>
                <w:sz w:val="28"/>
              </w:rPr>
              <w:t>словесной;</w:t>
            </w:r>
          </w:p>
          <w:p>
            <w:pPr>
              <w:pStyle w:val="style179"/>
              <w:numPr>
                <w:ilvl w:val="0"/>
                <w:numId w:val="15"/>
              </w:numPr>
              <w:tabs>
                <w:tab w:val="left" w:leader="none" w:pos="858"/>
                <w:tab w:val="left" w:leader="none" w:pos="2420"/>
                <w:tab w:val="left" w:leader="none" w:pos="3806"/>
                <w:tab w:val="left" w:leader="none" w:pos="5398"/>
                <w:tab w:val="left" w:leader="none" w:pos="6541"/>
                <w:tab w:val="left" w:leader="none" w:pos="7202"/>
                <w:tab w:val="left" w:leader="none" w:pos="7984"/>
                <w:tab w:val="left" w:leader="none" w:pos="8744"/>
              </w:tabs>
              <w:ind w:right="126"/>
              <w:rPr>
                <w:sz w:val="28"/>
                <w:lang w:eastAsia="ru-RU"/>
              </w:rPr>
            </w:pPr>
            <w:r>
              <w:rPr>
                <w:sz w:val="28"/>
              </w:rPr>
              <w:t>недостаточная целенаправленность и произвольность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при запоминании и воспроизведении информации</w:t>
            </w:r>
            <w:r>
              <w:rPr>
                <w:sz w:val="28"/>
              </w:rPr>
              <w:t>;</w:t>
            </w:r>
          </w:p>
          <w:p>
            <w:pPr>
              <w:pStyle w:val="style179"/>
              <w:numPr>
                <w:ilvl w:val="0"/>
                <w:numId w:val="15"/>
              </w:numPr>
              <w:tabs>
                <w:tab w:val="left" w:leader="none" w:pos="858"/>
                <w:tab w:val="left" w:leader="none" w:pos="2420"/>
                <w:tab w:val="left" w:leader="none" w:pos="3806"/>
                <w:tab w:val="left" w:leader="none" w:pos="5398"/>
                <w:tab w:val="left" w:leader="none" w:pos="6541"/>
                <w:tab w:val="left" w:leader="none" w:pos="7202"/>
                <w:tab w:val="left" w:leader="none" w:pos="7984"/>
                <w:tab w:val="left" w:leader="none" w:pos="8744"/>
              </w:tabs>
              <w:ind w:right="126"/>
              <w:rPr>
                <w:sz w:val="28"/>
              </w:rPr>
            </w:pPr>
            <w:r>
              <w:rPr>
                <w:spacing w:val="-2"/>
                <w:sz w:val="28"/>
              </w:rPr>
              <w:t>снижение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вербальной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памяти,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при этом </w:t>
            </w:r>
            <w:r>
              <w:rPr>
                <w:spacing w:val="-4"/>
                <w:sz w:val="28"/>
              </w:rPr>
              <w:t>дети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лучше </w:t>
            </w:r>
            <w:r>
              <w:rPr>
                <w:sz w:val="28"/>
              </w:rPr>
              <w:t>запоминают материал, предъявленный наглядно</w:t>
            </w:r>
            <w:r>
              <w:rPr>
                <w:sz w:val="28"/>
              </w:rPr>
              <w:t>.</w:t>
            </w:r>
          </w:p>
          <w:p>
            <w:pPr>
              <w:pStyle w:val="style0"/>
              <w:tabs>
                <w:tab w:val="left" w:leader="none" w:pos="858"/>
                <w:tab w:val="left" w:leader="none" w:pos="2420"/>
                <w:tab w:val="left" w:leader="none" w:pos="3806"/>
                <w:tab w:val="left" w:leader="none" w:pos="5398"/>
                <w:tab w:val="left" w:leader="none" w:pos="6541"/>
                <w:tab w:val="left" w:leader="none" w:pos="7202"/>
                <w:tab w:val="left" w:leader="none" w:pos="7984"/>
                <w:tab w:val="left" w:leader="none" w:pos="8744"/>
              </w:tabs>
              <w:ind w:left="0" w:right="126" w:firstLine="0"/>
              <w:rPr>
                <w:sz w:val="28"/>
              </w:rPr>
            </w:pPr>
          </w:p>
          <w:p>
            <w:pPr>
              <w:pStyle w:val="style0"/>
              <w:tabs>
                <w:tab w:val="left" w:leader="none" w:pos="1140"/>
              </w:tabs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eastAsia="en-US"/>
              </w:rPr>
              <w:tab/>
            </w:r>
            <w:r>
              <w:rPr>
                <w:rFonts w:ascii="Times New Roman" w:cs="Times New Roman" w:hAnsi="Times New Roman"/>
                <w:sz w:val="28"/>
                <w:szCs w:val="28"/>
                <w:lang w:eastAsia="en-US"/>
              </w:rPr>
              <w:tab/>
            </w: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uppressAutoHyphens/>
              <w:spacing w:after="0" w:lineRule="auto" w:line="240"/>
              <w:ind w:left="0" w:firstLine="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eastAsia="en-US"/>
              </w:rPr>
              <w:t>Мышление</w:t>
            </w:r>
          </w:p>
          <w:p>
            <w:pPr>
              <w:pStyle w:val="style179"/>
              <w:numPr>
                <w:ilvl w:val="0"/>
                <w:numId w:val="16"/>
              </w:numPr>
              <w:tabs>
                <w:tab w:val="left" w:leader="none" w:pos="857"/>
              </w:tabs>
              <w:ind w:right="125"/>
              <w:rPr>
                <w:sz w:val="28"/>
              </w:rPr>
            </w:pPr>
            <w:r>
              <w:rPr>
                <w:sz w:val="28"/>
              </w:rPr>
              <w:t>отмечается недостаточная гибкость мышления,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его инертность;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при предъявлении различных задач/ситуаций -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склонность к стереотипии и шаблонным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решениям;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характерны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затруднения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при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выполнении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проблемных </w:t>
            </w:r>
            <w:r>
              <w:rPr>
                <w:spacing w:val="-2"/>
                <w:sz w:val="28"/>
              </w:rPr>
              <w:t>задач;</w:t>
            </w:r>
          </w:p>
          <w:p>
            <w:pPr>
              <w:pStyle w:val="style179"/>
              <w:numPr>
                <w:ilvl w:val="0"/>
                <w:numId w:val="16"/>
              </w:numPr>
              <w:tabs>
                <w:tab w:val="left" w:leader="none" w:pos="857"/>
              </w:tabs>
              <w:ind w:right="124"/>
              <w:rPr>
                <w:sz w:val="28"/>
              </w:rPr>
            </w:pPr>
            <w:r>
              <w:rPr>
                <w:sz w:val="28"/>
              </w:rPr>
              <w:t>преобладает наглядно-действенное мышление, при этом наиболее доступно выполнение заданий по аналогии;</w:t>
            </w:r>
          </w:p>
          <w:p>
            <w:pPr>
              <w:pStyle w:val="style179"/>
              <w:numPr>
                <w:ilvl w:val="0"/>
                <w:numId w:val="16"/>
              </w:numPr>
              <w:tabs>
                <w:tab w:val="left" w:leader="none" w:pos="857"/>
              </w:tabs>
              <w:ind w:right="126"/>
              <w:rPr>
                <w:sz w:val="28"/>
              </w:rPr>
            </w:pPr>
            <w:r>
              <w:rPr>
                <w:sz w:val="28"/>
              </w:rPr>
              <w:t>трудности реализации всех мыслительных операций</w:t>
            </w:r>
            <w:r>
              <w:rPr>
                <w:sz w:val="28"/>
              </w:rPr>
              <w:t>: а</w:t>
            </w:r>
            <w:r>
              <w:rPr>
                <w:sz w:val="28"/>
              </w:rPr>
              <w:t xml:space="preserve">нализа, синтеза, сравнения, обобщения, абстрагирования, классификации, конкретизации и </w:t>
            </w:r>
            <w:r>
              <w:rPr>
                <w:spacing w:val="-2"/>
                <w:sz w:val="28"/>
              </w:rPr>
              <w:t>обобщения;</w:t>
            </w:r>
          </w:p>
          <w:p>
            <w:pPr>
              <w:pStyle w:val="style179"/>
              <w:numPr>
                <w:ilvl w:val="0"/>
                <w:numId w:val="16"/>
              </w:numPr>
              <w:tabs>
                <w:tab w:val="left" w:leader="none" w:pos="857"/>
              </w:tabs>
              <w:ind w:right="125"/>
              <w:rPr>
                <w:sz w:val="28"/>
              </w:rPr>
            </w:pPr>
            <w:r>
              <w:rPr>
                <w:sz w:val="28"/>
              </w:rPr>
              <w:t>при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анализе предмета/объекта/ситуации, выполнении заданий выделяются преимущественно малозначимые или второстепенные детали, отсутствует опора на иерархию понятий;</w:t>
            </w:r>
          </w:p>
          <w:p>
            <w:pPr>
              <w:pStyle w:val="style179"/>
              <w:numPr>
                <w:ilvl w:val="0"/>
                <w:numId w:val="16"/>
              </w:numPr>
              <w:tabs>
                <w:tab w:val="left" w:leader="none" w:pos="857"/>
              </w:tabs>
              <w:ind w:right="126"/>
              <w:rPr>
                <w:sz w:val="28"/>
              </w:rPr>
            </w:pPr>
            <w:r>
              <w:rPr>
                <w:sz w:val="28"/>
              </w:rPr>
              <w:t>снижение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познавательной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активности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продуктивности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при решении интеллектуальных задач.</w:t>
            </w: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  <w:tr>
        <w:tblPrEx/>
        <w:trPr/>
        <w:tc>
          <w:tcPr>
            <w:tcW w:w="14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eastAsia="en-US"/>
              </w:rPr>
              <w:t xml:space="preserve">Речь </w:t>
            </w:r>
          </w:p>
          <w:p>
            <w:pPr>
              <w:pStyle w:val="style179"/>
              <w:numPr>
                <w:ilvl w:val="0"/>
                <w:numId w:val="17"/>
              </w:numPr>
              <w:tabs>
                <w:tab w:val="left" w:leader="none" w:pos="857"/>
              </w:tabs>
              <w:ind w:right="123"/>
              <w:rPr>
                <w:sz w:val="28"/>
              </w:rPr>
            </w:pPr>
            <w:r>
              <w:rPr>
                <w:sz w:val="28"/>
              </w:rPr>
              <w:t>нарушение понимания устной и письменной речи (отдельных слов, словосочетаний, простой и сложной фразы, образных выражений, устных и письменных текстов);</w:t>
            </w:r>
          </w:p>
          <w:p>
            <w:pPr>
              <w:pStyle w:val="style179"/>
              <w:numPr>
                <w:ilvl w:val="0"/>
                <w:numId w:val="17"/>
              </w:numPr>
              <w:tabs>
                <w:tab w:val="left" w:leader="none" w:pos="857"/>
              </w:tabs>
              <w:ind w:right="123"/>
              <w:rPr>
                <w:sz w:val="28"/>
              </w:rPr>
            </w:pPr>
            <w:r>
              <w:rPr>
                <w:sz w:val="28"/>
              </w:rPr>
              <w:t>бедность и неточность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словарного запаса, преобладание частотных существительных и глаголов, усвоение прилагательных вызывает трудности;</w:t>
            </w:r>
          </w:p>
          <w:p>
            <w:pPr>
              <w:pStyle w:val="style179"/>
              <w:numPr>
                <w:ilvl w:val="0"/>
                <w:numId w:val="17"/>
              </w:numPr>
              <w:tabs>
                <w:tab w:val="left" w:leader="none" w:pos="857"/>
              </w:tabs>
              <w:ind w:right="123"/>
              <w:rPr>
                <w:sz w:val="28"/>
              </w:rPr>
            </w:pPr>
            <w:r>
              <w:rPr>
                <w:sz w:val="28"/>
              </w:rPr>
              <w:t>разнообразное по проявлениям нарушение звукопроизношения (от нарушения отдельных звуков до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искажения нескольких групп звуков);</w:t>
            </w:r>
          </w:p>
          <w:p>
            <w:pPr>
              <w:pStyle w:val="style179"/>
              <w:numPr>
                <w:ilvl w:val="0"/>
                <w:numId w:val="17"/>
              </w:numPr>
              <w:tabs>
                <w:tab w:val="left" w:leader="none" w:pos="857"/>
              </w:tabs>
              <w:rPr>
                <w:sz w:val="28"/>
              </w:rPr>
            </w:pPr>
            <w:r>
              <w:rPr>
                <w:sz w:val="28"/>
              </w:rPr>
              <w:t>спонтанная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речь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может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быть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невнятная,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смазанная</w:t>
            </w:r>
            <w:r>
              <w:rPr>
                <w:spacing w:val="-2"/>
                <w:sz w:val="28"/>
              </w:rPr>
              <w:t>;</w:t>
            </w:r>
          </w:p>
          <w:p>
            <w:pPr>
              <w:pStyle w:val="style179"/>
              <w:numPr>
                <w:ilvl w:val="0"/>
                <w:numId w:val="17"/>
              </w:numPr>
              <w:tabs>
                <w:tab w:val="left" w:leader="none" w:pos="857"/>
              </w:tabs>
              <w:ind w:right="123"/>
              <w:rPr>
                <w:sz w:val="28"/>
              </w:rPr>
            </w:pPr>
            <w:r>
              <w:rPr>
                <w:sz w:val="28"/>
              </w:rPr>
              <w:t>аграмматизм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различной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степени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выраженности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(неверное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употребление падежных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предложно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падежных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форм,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числа,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времени,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вида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глаголов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др.)</w:t>
            </w:r>
            <w:r>
              <w:rPr>
                <w:sz w:val="28"/>
              </w:rPr>
              <w:t>.</w:t>
            </w: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</w:tc>
      </w:tr>
    </w:tbl>
    <w:p>
      <w:pPr>
        <w:pStyle w:val="style0"/>
        <w:suppressAutoHyphens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uppressAutoHyphens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uppressAutoHyphens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uppressAutoHyphens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uppressAutoHyphens/>
        <w:spacing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 л</w:t>
      </w:r>
      <w:r>
        <w:rPr>
          <w:rFonts w:ascii="Times New Roman" w:cs="Times New Roman" w:hAnsi="Times New Roman"/>
          <w:sz w:val="28"/>
          <w:szCs w:val="28"/>
        </w:rPr>
        <w:t>ичностные особенности обучающегося заданной категории (особенности эмоционально-волевой сферы, самооценки)</w:t>
      </w:r>
      <w:r>
        <w:rPr>
          <w:rFonts w:ascii="Times New Roman" w:cs="Times New Roman" w:hAnsi="Times New Roman"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>
        <w:trPr/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eastAsia="en-US"/>
              </w:rPr>
              <w:t>Эмоционально- волевая сфера</w:t>
            </w:r>
          </w:p>
          <w:p>
            <w:pPr>
              <w:pStyle w:val="style179"/>
              <w:numPr>
                <w:ilvl w:val="0"/>
                <w:numId w:val="21"/>
              </w:numPr>
              <w:tabs>
                <w:tab w:val="left" w:leader="none" w:pos="858"/>
              </w:tabs>
              <w:ind w:right="126"/>
              <w:rPr>
                <w:spacing w:val="-2"/>
                <w:sz w:val="28"/>
              </w:rPr>
            </w:pPr>
            <w:r>
              <w:rPr>
                <w:sz w:val="28"/>
              </w:rPr>
              <w:t>снижена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потребность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общении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со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сверстниками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взрослыми;</w:t>
            </w:r>
          </w:p>
          <w:p>
            <w:pPr>
              <w:pStyle w:val="style179"/>
              <w:numPr>
                <w:ilvl w:val="0"/>
                <w:numId w:val="21"/>
              </w:numPr>
              <w:tabs>
                <w:tab w:val="left" w:leader="none" w:pos="857"/>
              </w:tabs>
              <w:ind w:right="126"/>
              <w:rPr>
                <w:spacing w:val="-2"/>
                <w:sz w:val="28"/>
              </w:rPr>
            </w:pPr>
            <w:r>
              <w:rPr>
                <w:sz w:val="28"/>
              </w:rPr>
              <w:t>мотивационная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сфера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познавательный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интерес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снижены;</w:t>
            </w:r>
          </w:p>
          <w:p>
            <w:pPr>
              <w:pStyle w:val="style179"/>
              <w:numPr>
                <w:ilvl w:val="0"/>
                <w:numId w:val="21"/>
              </w:numPr>
              <w:tabs>
                <w:tab w:val="left" w:leader="none" w:pos="858"/>
              </w:tabs>
              <w:ind w:right="126"/>
              <w:rPr>
                <w:sz w:val="28"/>
              </w:rPr>
            </w:pPr>
            <w:r>
              <w:rPr>
                <w:sz w:val="28"/>
              </w:rPr>
              <w:t>нарушение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самоконтроля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практически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во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всех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видах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деятельности</w:t>
            </w:r>
            <w:r>
              <w:rPr>
                <w:spacing w:val="-2"/>
                <w:sz w:val="28"/>
              </w:rPr>
              <w:t>;</w:t>
            </w:r>
          </w:p>
          <w:p>
            <w:pPr>
              <w:pStyle w:val="style179"/>
              <w:numPr>
                <w:ilvl w:val="0"/>
                <w:numId w:val="21"/>
              </w:numPr>
              <w:tabs>
                <w:tab w:val="left" w:leader="none" w:pos="857"/>
              </w:tabs>
              <w:ind w:right="126"/>
              <w:rPr>
                <w:sz w:val="28"/>
              </w:rPr>
            </w:pPr>
            <w:r>
              <w:rPr>
                <w:sz w:val="28"/>
              </w:rPr>
              <w:t>отставание в развитии эмоциональной сферы также характеризуется вариативностью проявлений от страхов, боязливости, пониженного фона настроения до повышенного фона настроения, возбудимости, агрессивности</w:t>
            </w:r>
            <w:r>
              <w:rPr>
                <w:sz w:val="28"/>
              </w:rPr>
              <w:t>.</w:t>
            </w:r>
          </w:p>
          <w:p>
            <w:pPr>
              <w:pStyle w:val="style0"/>
              <w:tabs>
                <w:tab w:val="left" w:leader="none" w:pos="858"/>
              </w:tabs>
              <w:ind w:left="360" w:right="126" w:firstLine="0"/>
              <w:rPr>
                <w:sz w:val="28"/>
              </w:rPr>
            </w:pP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eastAsia="en-US"/>
              </w:rPr>
              <w:t xml:space="preserve">Самооценка </w:t>
            </w:r>
          </w:p>
          <w:p>
            <w:pPr>
              <w:pStyle w:val="style179"/>
              <w:numPr>
                <w:ilvl w:val="0"/>
                <w:numId w:val="19"/>
              </w:numPr>
              <w:tabs>
                <w:tab w:val="left" w:leader="none" w:pos="857"/>
              </w:tabs>
              <w:ind w:right="125"/>
              <w:rPr>
                <w:sz w:val="28"/>
              </w:rPr>
            </w:pPr>
            <w:r>
              <w:rPr>
                <w:sz w:val="28"/>
              </w:rPr>
              <w:t>у</w:t>
            </w:r>
            <w:r>
              <w:rPr>
                <w:sz w:val="28"/>
              </w:rPr>
              <w:t xml:space="preserve"> детей младшего школьного возраста с ЗПР могут иметь место все виды самооценки</w:t>
            </w:r>
            <w:r>
              <w:rPr>
                <w:sz w:val="28"/>
              </w:rPr>
              <w:t>;</w:t>
            </w:r>
          </w:p>
          <w:p>
            <w:pPr>
              <w:pStyle w:val="style179"/>
              <w:numPr>
                <w:ilvl w:val="0"/>
                <w:numId w:val="19"/>
              </w:numPr>
              <w:tabs>
                <w:tab w:val="left" w:leader="none" w:pos="857"/>
              </w:tabs>
              <w:ind w:right="125"/>
              <w:rPr>
                <w:sz w:val="28"/>
              </w:rPr>
            </w:pPr>
            <w:r>
              <w:rPr>
                <w:sz w:val="28"/>
              </w:rPr>
              <w:t>а</w:t>
            </w:r>
            <w:r>
              <w:rPr>
                <w:sz w:val="28"/>
              </w:rPr>
              <w:t>декватная устойчивая самооценка</w:t>
            </w:r>
            <w:r>
              <w:rPr>
                <w:sz w:val="28"/>
              </w:rPr>
              <w:t xml:space="preserve"> в</w:t>
            </w:r>
            <w:r>
              <w:rPr>
                <w:sz w:val="28"/>
              </w:rPr>
              <w:t>ыражается в активности, бодрости, находчивости, общительности и чувстве юмора</w:t>
            </w:r>
            <w:r>
              <w:rPr>
                <w:sz w:val="28"/>
              </w:rPr>
              <w:t>;</w:t>
            </w:r>
          </w:p>
          <w:p>
            <w:pPr>
              <w:pStyle w:val="style179"/>
              <w:numPr>
                <w:ilvl w:val="0"/>
                <w:numId w:val="19"/>
              </w:numPr>
              <w:tabs>
                <w:tab w:val="left" w:leader="none" w:pos="857"/>
              </w:tabs>
              <w:ind w:right="125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z w:val="28"/>
              </w:rPr>
              <w:t>ысокая адекватная самооценка</w:t>
            </w:r>
            <w:r>
              <w:rPr>
                <w:sz w:val="28"/>
              </w:rPr>
              <w:t xml:space="preserve"> – д</w:t>
            </w:r>
            <w:r>
              <w:rPr>
                <w:sz w:val="28"/>
              </w:rPr>
              <w:t>ети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активны и максимально самостоятельны, с оптимистичным настроем, всегда правильно оценивают свои возможности и способности</w:t>
            </w:r>
            <w:r>
              <w:rPr>
                <w:sz w:val="28"/>
              </w:rPr>
              <w:t>;</w:t>
            </w:r>
          </w:p>
          <w:p>
            <w:pPr>
              <w:pStyle w:val="style179"/>
              <w:numPr>
                <w:ilvl w:val="0"/>
                <w:numId w:val="19"/>
              </w:numPr>
              <w:tabs>
                <w:tab w:val="left" w:leader="none" w:pos="857"/>
              </w:tabs>
              <w:ind w:right="125"/>
              <w:rPr>
                <w:sz w:val="28"/>
              </w:rPr>
            </w:pPr>
            <w:r>
              <w:rPr>
                <w:sz w:val="28"/>
              </w:rPr>
              <w:t>н</w:t>
            </w:r>
            <w:r>
              <w:rPr>
                <w:sz w:val="28"/>
              </w:rPr>
              <w:t>еадекватная заниженная самооценка</w:t>
            </w:r>
            <w:r>
              <w:rPr>
                <w:sz w:val="28"/>
              </w:rPr>
              <w:t xml:space="preserve"> п</w:t>
            </w:r>
            <w:r>
              <w:rPr>
                <w:sz w:val="28"/>
              </w:rPr>
              <w:t>роявляется в общении и характере детей. Такие дети, как правило, переоценивают возможности других</w:t>
            </w:r>
            <w:r>
              <w:rPr>
                <w:sz w:val="28"/>
              </w:rPr>
              <w:t>;</w:t>
            </w:r>
          </w:p>
          <w:p>
            <w:pPr>
              <w:pStyle w:val="style179"/>
              <w:numPr>
                <w:ilvl w:val="0"/>
                <w:numId w:val="19"/>
              </w:numPr>
              <w:tabs>
                <w:tab w:val="left" w:leader="none" w:pos="857"/>
              </w:tabs>
              <w:ind w:right="125"/>
              <w:rPr>
                <w:sz w:val="28"/>
              </w:rPr>
            </w:pPr>
            <w:r>
              <w:rPr>
                <w:sz w:val="28"/>
              </w:rPr>
              <w:t>н</w:t>
            </w:r>
            <w:r>
              <w:rPr>
                <w:sz w:val="28"/>
              </w:rPr>
              <w:t>еадекватная завышенная самооценка</w:t>
            </w:r>
            <w:r>
              <w:rPr>
                <w:sz w:val="28"/>
              </w:rPr>
              <w:t xml:space="preserve"> в</w:t>
            </w:r>
            <w:r>
              <w:rPr>
                <w:sz w:val="28"/>
              </w:rPr>
              <w:t>ыражается в незнании своих возможностей, неумении самостоятельно решать проблемы и добиваться успешного результата</w:t>
            </w:r>
            <w:r>
              <w:rPr>
                <w:sz w:val="28"/>
              </w:rPr>
              <w:t>;</w:t>
            </w:r>
          </w:p>
          <w:p>
            <w:pPr>
              <w:pStyle w:val="style179"/>
              <w:numPr>
                <w:ilvl w:val="0"/>
                <w:numId w:val="19"/>
              </w:numPr>
              <w:tabs>
                <w:tab w:val="left" w:leader="none" w:pos="857"/>
              </w:tabs>
              <w:ind w:right="125"/>
              <w:rPr>
                <w:sz w:val="28"/>
              </w:rPr>
            </w:pPr>
            <w:r>
              <w:rPr>
                <w:sz w:val="28"/>
              </w:rPr>
              <w:t>неустойчивость, неточность, пластичность и неполнота представлений о собственных интеллектуальных, физических и личностных качествах;</w:t>
            </w:r>
          </w:p>
          <w:p>
            <w:pPr>
              <w:pStyle w:val="style179"/>
              <w:numPr>
                <w:ilvl w:val="0"/>
                <w:numId w:val="19"/>
              </w:numPr>
              <w:tabs>
                <w:tab w:val="left" w:leader="none" w:pos="857"/>
              </w:tabs>
              <w:ind w:right="125"/>
              <w:rPr>
                <w:sz w:val="28"/>
              </w:rPr>
            </w:pPr>
            <w:r>
              <w:rPr>
                <w:sz w:val="28"/>
              </w:rPr>
              <w:t xml:space="preserve">самооценка </w:t>
            </w:r>
            <w:r>
              <w:rPr>
                <w:sz w:val="28"/>
              </w:rPr>
              <w:t xml:space="preserve">во многом основана на мнении окружающих людей. Если окружающие дают положительную оценку достижениям ребёнка с ЗПР, то самооценка у него близка к адекватной, а </w:t>
            </w:r>
            <w:r>
              <w:rPr>
                <w:sz w:val="28"/>
              </w:rPr>
              <w:t>если взрослые постоянно напоминают ему о его неуспешности, невозможности выполнить даже простое задание, то самооценка неадекватна и занижена</w:t>
            </w:r>
            <w:r>
              <w:rPr>
                <w:sz w:val="28"/>
              </w:rPr>
              <w:t>;</w:t>
            </w:r>
          </w:p>
          <w:p>
            <w:pPr>
              <w:pStyle w:val="style179"/>
              <w:numPr>
                <w:ilvl w:val="0"/>
                <w:numId w:val="19"/>
              </w:numPr>
              <w:tabs>
                <w:tab w:val="left" w:leader="none" w:pos="857"/>
              </w:tabs>
              <w:ind w:right="125"/>
              <w:rPr>
                <w:sz w:val="28"/>
              </w:rPr>
            </w:pPr>
            <w:r>
              <w:rPr>
                <w:sz w:val="28"/>
              </w:rPr>
              <w:t xml:space="preserve">для формирования адекватной самооценки у детей с ЗПР рекомендуется проводить коррекционную работу, включающую взаимодействие не только с ребёнком, но и с родителями.  </w:t>
            </w:r>
          </w:p>
          <w:p>
            <w:pPr>
              <w:pStyle w:val="style179"/>
              <w:tabs>
                <w:tab w:val="left" w:leader="none" w:pos="857"/>
              </w:tabs>
              <w:ind w:left="720" w:right="125"/>
              <w:rPr>
                <w:sz w:val="28"/>
              </w:rPr>
            </w:pPr>
          </w:p>
        </w:tc>
      </w:tr>
    </w:tbl>
    <w:p>
      <w:pPr>
        <w:pStyle w:val="style0"/>
        <w:suppressAutoHyphens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uppressAutoHyphens/>
        <w:spacing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 поведенческие особенности обучающегося заданной нозологической группы</w:t>
      </w:r>
      <w:r>
        <w:rPr>
          <w:rFonts w:ascii="Times New Roman" w:cs="Times New Roman" w:hAnsi="Times New Roman"/>
          <w:sz w:val="28"/>
          <w:szCs w:val="28"/>
        </w:rPr>
        <w:t>:</w:t>
      </w:r>
    </w:p>
    <w:p>
      <w:pPr>
        <w:pStyle w:val="style179"/>
        <w:numPr>
          <w:ilvl w:val="0"/>
          <w:numId w:val="20"/>
        </w:numPr>
        <w:suppressAutoHyphens/>
        <w:rPr>
          <w:sz w:val="28"/>
          <w:szCs w:val="28"/>
        </w:rPr>
      </w:pPr>
      <w:r>
        <w:rPr>
          <w:sz w:val="28"/>
        </w:rPr>
        <w:t>характерны</w:t>
      </w:r>
      <w:r>
        <w:rPr>
          <w:spacing w:val="-11"/>
          <w:sz w:val="28"/>
        </w:rPr>
        <w:t xml:space="preserve"> </w:t>
      </w:r>
      <w:r>
        <w:rPr>
          <w:sz w:val="28"/>
        </w:rPr>
        <w:t>колебания</w:t>
      </w:r>
      <w:r>
        <w:rPr>
          <w:spacing w:val="-10"/>
          <w:sz w:val="28"/>
        </w:rPr>
        <w:t xml:space="preserve"> </w:t>
      </w:r>
      <w:r>
        <w:rPr>
          <w:sz w:val="28"/>
        </w:rPr>
        <w:t>активности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работоспособности;</w:t>
      </w:r>
    </w:p>
    <w:p>
      <w:pPr>
        <w:pStyle w:val="style179"/>
        <w:numPr>
          <w:ilvl w:val="0"/>
          <w:numId w:val="20"/>
        </w:numPr>
        <w:suppressAutoHyphens/>
        <w:rPr>
          <w:sz w:val="28"/>
          <w:szCs w:val="28"/>
        </w:rPr>
      </w:pPr>
      <w:r>
        <w:rPr>
          <w:spacing w:val="-2"/>
          <w:sz w:val="28"/>
        </w:rPr>
        <w:t>период</w:t>
      </w:r>
      <w:r>
        <w:rPr>
          <w:sz w:val="28"/>
        </w:rPr>
        <w:tab/>
      </w:r>
      <w:r>
        <w:rPr>
          <w:spacing w:val="-2"/>
          <w:sz w:val="28"/>
        </w:rPr>
        <w:t>интеллектуального</w:t>
      </w:r>
      <w:r>
        <w:rPr>
          <w:sz w:val="28"/>
        </w:rPr>
        <w:tab/>
      </w:r>
      <w:r>
        <w:rPr>
          <w:spacing w:val="-2"/>
          <w:sz w:val="28"/>
        </w:rPr>
        <w:t>напряжения,</w:t>
      </w:r>
      <w:r>
        <w:rPr>
          <w:sz w:val="28"/>
        </w:rPr>
        <w:tab/>
      </w:r>
      <w:r>
        <w:rPr>
          <w:spacing w:val="-2"/>
          <w:sz w:val="28"/>
        </w:rPr>
        <w:t xml:space="preserve">сосредоточенности </w:t>
      </w:r>
      <w:r>
        <w:rPr>
          <w:sz w:val="28"/>
        </w:rPr>
        <w:t>характеризуется краткостью, после которого наступает утомление;</w:t>
      </w:r>
      <w:r>
        <w:rPr>
          <w:sz w:val="28"/>
          <w:szCs w:val="28"/>
        </w:rPr>
        <w:t xml:space="preserve"> </w:t>
      </w:r>
    </w:p>
    <w:p>
      <w:pPr>
        <w:pStyle w:val="style179"/>
        <w:numPr>
          <w:ilvl w:val="0"/>
          <w:numId w:val="20"/>
        </w:numPr>
        <w:suppressAutoHyphens/>
        <w:rPr>
          <w:sz w:val="28"/>
          <w:szCs w:val="28"/>
        </w:rPr>
      </w:pPr>
      <w:r>
        <w:rPr>
          <w:sz w:val="28"/>
        </w:rPr>
        <w:t>доступно</w:t>
      </w:r>
      <w:r>
        <w:rPr>
          <w:spacing w:val="-10"/>
          <w:sz w:val="28"/>
        </w:rPr>
        <w:t xml:space="preserve"> </w:t>
      </w:r>
      <w:r>
        <w:rPr>
          <w:sz w:val="28"/>
        </w:rPr>
        <w:t>понимание</w:t>
      </w:r>
      <w:r>
        <w:rPr>
          <w:spacing w:val="50"/>
          <w:sz w:val="28"/>
        </w:rPr>
        <w:t xml:space="preserve"> </w:t>
      </w:r>
      <w:r>
        <w:rPr>
          <w:sz w:val="28"/>
        </w:rPr>
        <w:t>материалов</w:t>
      </w:r>
      <w:r>
        <w:rPr>
          <w:spacing w:val="-10"/>
          <w:sz w:val="28"/>
        </w:rPr>
        <w:t xml:space="preserve"> </w:t>
      </w:r>
      <w:r>
        <w:rPr>
          <w:sz w:val="28"/>
        </w:rPr>
        <w:t>небольшого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объема;</w:t>
      </w:r>
    </w:p>
    <w:p>
      <w:pPr>
        <w:pStyle w:val="style179"/>
        <w:numPr>
          <w:ilvl w:val="0"/>
          <w:numId w:val="20"/>
        </w:numPr>
        <w:suppressAutoHyphens/>
        <w:rPr>
          <w:sz w:val="28"/>
          <w:szCs w:val="28"/>
        </w:rPr>
      </w:pPr>
      <w:r>
        <w:rPr>
          <w:spacing w:val="-6"/>
          <w:sz w:val="28"/>
        </w:rPr>
        <w:t>на</w:t>
      </w:r>
      <w:r>
        <w:rPr>
          <w:sz w:val="28"/>
        </w:rPr>
        <w:tab/>
      </w:r>
      <w:r>
        <w:rPr>
          <w:spacing w:val="-4"/>
          <w:sz w:val="28"/>
        </w:rPr>
        <w:t>фоне</w:t>
      </w:r>
      <w:r>
        <w:rPr>
          <w:sz w:val="28"/>
        </w:rPr>
        <w:tab/>
      </w:r>
      <w:r>
        <w:rPr>
          <w:spacing w:val="-2"/>
          <w:sz w:val="28"/>
        </w:rPr>
        <w:t>утомления</w:t>
      </w:r>
      <w:r>
        <w:rPr>
          <w:sz w:val="28"/>
        </w:rPr>
        <w:tab/>
      </w:r>
      <w:r>
        <w:rPr>
          <w:spacing w:val="-2"/>
          <w:sz w:val="28"/>
        </w:rPr>
        <w:t>могут</w:t>
      </w:r>
      <w:r>
        <w:rPr>
          <w:sz w:val="28"/>
        </w:rPr>
        <w:tab/>
      </w:r>
      <w:r>
        <w:rPr>
          <w:spacing w:val="-2"/>
          <w:sz w:val="28"/>
        </w:rPr>
        <w:t>возникнуть</w:t>
      </w:r>
      <w:r>
        <w:rPr>
          <w:sz w:val="28"/>
        </w:rPr>
        <w:tab/>
      </w:r>
      <w:r>
        <w:rPr>
          <w:spacing w:val="-2"/>
          <w:sz w:val="28"/>
        </w:rPr>
        <w:t>реакции</w:t>
      </w:r>
      <w:r>
        <w:rPr>
          <w:sz w:val="28"/>
        </w:rPr>
        <w:tab/>
      </w:r>
      <w:r>
        <w:rPr>
          <w:spacing w:val="-2"/>
          <w:sz w:val="28"/>
        </w:rPr>
        <w:t xml:space="preserve">возбудимости, </w:t>
      </w:r>
      <w:r>
        <w:rPr>
          <w:sz w:val="28"/>
        </w:rPr>
        <w:t>агрессивности или, наоборот, пассивность и</w:t>
      </w:r>
      <w:r>
        <w:rPr>
          <w:spacing w:val="40"/>
          <w:sz w:val="28"/>
        </w:rPr>
        <w:t xml:space="preserve"> </w:t>
      </w:r>
      <w:r>
        <w:rPr>
          <w:sz w:val="28"/>
        </w:rPr>
        <w:t>заторможенность.</w:t>
      </w:r>
    </w:p>
    <w:p>
      <w:pPr>
        <w:pStyle w:val="style0"/>
        <w:suppressAutoHyphens/>
        <w:spacing w:after="0" w:lineRule="auto" w:line="240"/>
        <w:ind w:left="11" w:right="1253" w:hanging="11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26"/>
          <w:szCs w:val="26"/>
        </w:rPr>
        <w:br w:type="page"/>
      </w:r>
      <w:r>
        <w:rPr>
          <w:rFonts w:ascii="Times New Roman" w:cs="Times New Roman" w:hAnsi="Times New Roman"/>
          <w:sz w:val="26"/>
          <w:szCs w:val="26"/>
        </w:rPr>
        <w:t>Таблица 2</w:t>
      </w:r>
      <w:r>
        <w:rPr>
          <w:rFonts w:ascii="Times New Roman" w:cs="Times New Roman" w:hAnsi="Times New Roman"/>
          <w:sz w:val="26"/>
          <w:szCs w:val="26"/>
        </w:rPr>
        <w:t xml:space="preserve">. </w:t>
      </w:r>
      <w:r>
        <w:rPr>
          <w:rFonts w:ascii="Times New Roman" w:cs="Times New Roman" w:hAnsi="Times New Roman"/>
          <w:b/>
          <w:sz w:val="28"/>
          <w:szCs w:val="28"/>
        </w:rPr>
        <w:t xml:space="preserve">Психолого-педагогические условия образования обучающихся с ОВЗ и/или инвалидностью  </w:t>
      </w:r>
    </w:p>
    <w:p>
      <w:pPr>
        <w:pStyle w:val="style0"/>
        <w:suppressAutoHyphens/>
        <w:spacing w:lineRule="auto" w:line="240"/>
        <w:ind w:left="11" w:right="1253" w:hanging="11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(нозологическая группа</w:t>
      </w:r>
      <w:r>
        <w:rPr>
          <w:rFonts w:ascii="Times New Roman" w:cs="Times New Roman" w:hAnsi="Times New Roman"/>
          <w:b/>
          <w:sz w:val="28"/>
          <w:szCs w:val="28"/>
        </w:rPr>
        <w:t xml:space="preserve"> задержка психического развития</w:t>
      </w:r>
      <w:r>
        <w:rPr>
          <w:rFonts w:ascii="Times New Roman" w:cs="Times New Roman" w:hAnsi="Times New Roman"/>
          <w:b/>
          <w:sz w:val="28"/>
          <w:szCs w:val="28"/>
        </w:rPr>
        <w:t>)</w:t>
      </w:r>
    </w:p>
    <w:tbl>
      <w:tblPr>
        <w:tblpPr w:leftFromText="180" w:rightFromText="180" w:topFromText="0" w:bottomFromText="160" w:vertAnchor="text" w:horzAnchor="margin" w:tblpXSpec="left" w:tblpY="1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9"/>
        <w:gridCol w:w="7307"/>
      </w:tblGrid>
      <w:tr>
        <w:trPr/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eastAsia="en-US"/>
              </w:rPr>
              <w:t>Основные формы обучения</w:t>
            </w:r>
            <w:r>
              <w:rPr>
                <w:rFonts w:ascii="Times New Roman" w:cs="Times New Roman" w:hAnsi="Times New Roman"/>
                <w:sz w:val="28"/>
                <w:szCs w:val="28"/>
                <w:lang w:eastAsia="en-US"/>
              </w:rPr>
              <w:t>:</w:t>
            </w:r>
          </w:p>
          <w:p>
            <w:pPr>
              <w:pStyle w:val="style179"/>
              <w:numPr>
                <w:ilvl w:val="0"/>
                <w:numId w:val="23"/>
              </w:numPr>
              <w:suppressAutoHyphens/>
              <w:rPr>
                <w:sz w:val="28"/>
              </w:rPr>
            </w:pPr>
            <w:r>
              <w:rPr>
                <w:sz w:val="28"/>
              </w:rPr>
              <w:t>Обучение совместно с другими детьми в обычных классах (группах) в общеобразовательных учреждениях</w:t>
            </w:r>
            <w:r>
              <w:rPr>
                <w:sz w:val="28"/>
              </w:rPr>
              <w:t>.</w:t>
            </w:r>
          </w:p>
          <w:p>
            <w:pPr>
              <w:pStyle w:val="style179"/>
              <w:numPr>
                <w:ilvl w:val="0"/>
                <w:numId w:val="23"/>
              </w:numPr>
              <w:suppressAutoHyphens/>
              <w:rPr>
                <w:sz w:val="28"/>
              </w:rPr>
            </w:pPr>
            <w:r>
              <w:rPr>
                <w:sz w:val="28"/>
              </w:rPr>
              <w:t>Специализированные классы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общеобразовательных школ</w:t>
            </w:r>
            <w:r>
              <w:rPr>
                <w:sz w:val="28"/>
              </w:rPr>
              <w:t xml:space="preserve">. </w:t>
            </w:r>
            <w:r>
              <w:rPr>
                <w:sz w:val="28"/>
              </w:rPr>
              <w:t>Программа обучения подкорректирована, а количество учеников уменьшено.</w:t>
            </w:r>
          </w:p>
          <w:p>
            <w:pPr>
              <w:pStyle w:val="style179"/>
              <w:numPr>
                <w:ilvl w:val="0"/>
                <w:numId w:val="23"/>
              </w:numPr>
              <w:suppressAutoHyphens/>
              <w:rPr>
                <w:sz w:val="28"/>
              </w:rPr>
            </w:pPr>
            <w:r>
              <w:rPr>
                <w:sz w:val="28"/>
              </w:rPr>
              <w:t>Коррекционные классы в условиях общеобразовательной школы.</w:t>
            </w:r>
          </w:p>
          <w:p>
            <w:pPr>
              <w:pStyle w:val="style179"/>
              <w:numPr>
                <w:ilvl w:val="0"/>
                <w:numId w:val="23"/>
              </w:numPr>
              <w:suppressAutoHyphens/>
              <w:rPr>
                <w:sz w:val="28"/>
                <w:szCs w:val="28"/>
              </w:rPr>
            </w:pPr>
            <w:r>
              <w:rPr>
                <w:sz w:val="28"/>
              </w:rPr>
              <w:t xml:space="preserve">Обучение на дому или в медицинских организациях. Может вестись по общеобразовательной программе или по программе для специальных (коррекционных) учреждений.  </w:t>
            </w:r>
          </w:p>
          <w:p>
            <w:pPr>
              <w:pStyle w:val="style179"/>
              <w:numPr>
                <w:ilvl w:val="0"/>
                <w:numId w:val="23"/>
              </w:numPr>
              <w:suppressAutoHyphens/>
              <w:rPr>
                <w:sz w:val="28"/>
                <w:szCs w:val="28"/>
              </w:rPr>
            </w:pPr>
            <w:r>
              <w:rPr>
                <w:sz w:val="28"/>
              </w:rPr>
              <w:t xml:space="preserve">Дистанционное обучение. Комплекс образовательных услуг, предоставляемых с помощью специализированной информационно-образовательной среды.  </w:t>
            </w:r>
          </w:p>
          <w:p>
            <w:pPr>
              <w:pStyle w:val="style179"/>
              <w:numPr>
                <w:ilvl w:val="0"/>
                <w:numId w:val="23"/>
              </w:numPr>
              <w:suppressAutoHyphens/>
              <w:rPr>
                <w:sz w:val="28"/>
                <w:szCs w:val="28"/>
              </w:rPr>
            </w:pPr>
            <w:r>
              <w:rPr>
                <w:sz w:val="28"/>
              </w:rPr>
              <w:t>Обязательна организация специальных условий учёбы и воспитания с применением специальных методов обучения, персональных и групповых коррекционно-развивающих занятий.</w:t>
            </w: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uppressAutoHyphens/>
              <w:spacing w:after="0" w:lineRule="auto" w:line="240"/>
              <w:ind w:left="0" w:firstLine="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uppressAutoHyphens/>
              <w:spacing w:after="0" w:lineRule="auto" w:line="240"/>
              <w:ind w:left="0" w:firstLine="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uppressAutoHyphens/>
              <w:spacing w:after="0" w:lineRule="auto" w:line="240"/>
              <w:jc w:val="both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style0"/>
              <w:suppressAutoHyphens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eastAsia="en-US"/>
              </w:rPr>
              <w:t>Методы и приемы обучения</w:t>
            </w:r>
            <w:r>
              <w:rPr>
                <w:rFonts w:ascii="Times New Roman" w:cs="Times New Roman" w:hAnsi="Times New Roman"/>
                <w:sz w:val="28"/>
                <w:szCs w:val="28"/>
                <w:lang w:eastAsia="en-US"/>
              </w:rPr>
              <w:t>:</w:t>
            </w:r>
          </w:p>
          <w:p>
            <w:pPr>
              <w:pStyle w:val="style179"/>
              <w:numPr>
                <w:ilvl w:val="0"/>
                <w:numId w:val="24"/>
              </w:numPr>
              <w:suppressAutoHyphens/>
              <w:rPr>
                <w:sz w:val="28"/>
              </w:rPr>
            </w:pPr>
            <w:r>
              <w:rPr>
                <w:sz w:val="28"/>
              </w:rPr>
              <w:t>обязательное использование вариативных методов предъявления материалов занятия с опорой на различные модальности;</w:t>
            </w:r>
          </w:p>
          <w:p>
            <w:pPr>
              <w:pStyle w:val="style179"/>
              <w:numPr>
                <w:ilvl w:val="0"/>
                <w:numId w:val="24"/>
              </w:numPr>
              <w:suppressAutoHyphens/>
              <w:rPr>
                <w:sz w:val="28"/>
              </w:rPr>
            </w:pPr>
            <w:r>
              <w:rPr>
                <w:sz w:val="28"/>
              </w:rPr>
              <w:t>требуется уменьшение объема, упрощение содержания и дозирование информации, которая предъявляется на занятии</w:t>
            </w:r>
            <w:r>
              <w:rPr>
                <w:sz w:val="28"/>
              </w:rPr>
              <w:t>;</w:t>
            </w:r>
          </w:p>
          <w:p>
            <w:pPr>
              <w:pStyle w:val="style179"/>
              <w:numPr>
                <w:ilvl w:val="0"/>
                <w:numId w:val="24"/>
              </w:numPr>
              <w:suppressAutoHyphens/>
              <w:rPr>
                <w:sz w:val="28"/>
              </w:rPr>
            </w:pPr>
            <w:r>
              <w:rPr>
                <w:sz w:val="28"/>
              </w:rPr>
              <w:t>необходимо детализированное, развернутое, конкретное предъявление материала занятия;</w:t>
            </w:r>
          </w:p>
          <w:p>
            <w:pPr>
              <w:pStyle w:val="style179"/>
              <w:numPr>
                <w:ilvl w:val="0"/>
                <w:numId w:val="24"/>
              </w:numPr>
              <w:suppressAutoHyphens/>
              <w:rPr>
                <w:sz w:val="28"/>
              </w:rPr>
            </w:pPr>
            <w:r>
              <w:rPr>
                <w:sz w:val="28"/>
              </w:rPr>
              <w:t>требуется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многократное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повторение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действий,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упражнений,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движений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 обязательным наглядным подкреплением;</w:t>
            </w:r>
          </w:p>
          <w:p>
            <w:pPr>
              <w:pStyle w:val="style179"/>
              <w:numPr>
                <w:ilvl w:val="0"/>
                <w:numId w:val="24"/>
              </w:numPr>
              <w:suppressAutoHyphens/>
              <w:rPr>
                <w:sz w:val="28"/>
              </w:rPr>
            </w:pPr>
            <w:r>
              <w:rPr>
                <w:sz w:val="28"/>
              </w:rPr>
              <w:t xml:space="preserve">включение в содержание занятий </w:t>
            </w:r>
            <w:r>
              <w:rPr>
                <w:sz w:val="28"/>
              </w:rPr>
              <w:t>по дополнительным общеразвивающим программам игровых и дидактических элементов для повышения мотивации детей с ЗПР;</w:t>
            </w:r>
          </w:p>
          <w:p>
            <w:pPr>
              <w:pStyle w:val="style179"/>
              <w:numPr>
                <w:ilvl w:val="0"/>
                <w:numId w:val="24"/>
              </w:numPr>
              <w:suppressAutoHyphens/>
              <w:rPr>
                <w:sz w:val="28"/>
              </w:rPr>
            </w:pPr>
            <w:r>
              <w:rPr>
                <w:sz w:val="28"/>
              </w:rPr>
              <w:t>детализация и алгоритмизация действий с обязательным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с комментированием; использование схем, таблиц, памяток и др.;</w:t>
            </w:r>
          </w:p>
          <w:p>
            <w:pPr>
              <w:pStyle w:val="style179"/>
              <w:numPr>
                <w:ilvl w:val="0"/>
                <w:numId w:val="24"/>
              </w:numPr>
              <w:suppressAutoHyphens/>
              <w:rPr>
                <w:sz w:val="28"/>
                <w:szCs w:val="28"/>
              </w:rPr>
            </w:pPr>
            <w:r>
              <w:rPr>
                <w:sz w:val="28"/>
              </w:rPr>
              <w:t>проявление особого педагогического такта,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поощрение достижений, обеспечение ситуации успешности для ребенка с ЗПР.</w:t>
            </w:r>
          </w:p>
          <w:p>
            <w:pPr>
              <w:pStyle w:val="style0"/>
              <w:suppressAutoHyphens/>
              <w:spacing w:after="0" w:lineRule="auto" w:line="240"/>
              <w:jc w:val="center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</w:tc>
      </w:tr>
      <w:tr>
        <w:tblPrEx/>
        <w:trPr/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uppressAutoHyphens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eastAsia="en-US"/>
              </w:rPr>
              <w:t>Требования к организации процесса обучения</w:t>
            </w:r>
            <w:r>
              <w:rPr>
                <w:rFonts w:ascii="Times New Roman" w:cs="Times New Roman" w:hAnsi="Times New Roman"/>
                <w:sz w:val="28"/>
                <w:szCs w:val="28"/>
                <w:lang w:eastAsia="en-US"/>
              </w:rPr>
              <w:t>:</w:t>
            </w:r>
          </w:p>
          <w:p>
            <w:pPr>
              <w:pStyle w:val="style179"/>
              <w:numPr>
                <w:ilvl w:val="0"/>
                <w:numId w:val="25"/>
              </w:numPr>
              <w:suppressAutoHyphens/>
              <w:rPr>
                <w:sz w:val="28"/>
              </w:rPr>
            </w:pPr>
            <w:r>
              <w:rPr>
                <w:sz w:val="28"/>
              </w:rPr>
              <w:t>Разработка занятий с учётом уровня развития и индивидуальных особенностей ученика. Работа в небольших группах или индивидуально с ребёнком.</w:t>
            </w:r>
          </w:p>
          <w:p>
            <w:pPr>
              <w:pStyle w:val="style179"/>
              <w:numPr>
                <w:ilvl w:val="0"/>
                <w:numId w:val="25"/>
              </w:numPr>
              <w:suppressAutoHyphens/>
              <w:rPr>
                <w:sz w:val="28"/>
              </w:rPr>
            </w:pPr>
            <w:r>
              <w:rPr>
                <w:sz w:val="28"/>
              </w:rPr>
              <w:t>Контроль динамики развития. Регулярные тестирования педагогов, психологов и других специалистов позволяют оценить полученные знания, уровень развития речи, мышления, памяти.</w:t>
            </w:r>
          </w:p>
          <w:p>
            <w:pPr>
              <w:pStyle w:val="style179"/>
              <w:numPr>
                <w:ilvl w:val="0"/>
                <w:numId w:val="25"/>
              </w:numPr>
              <w:suppressAutoHyphens/>
              <w:rPr>
                <w:sz w:val="28"/>
              </w:rPr>
            </w:pPr>
            <w:r>
              <w:rPr>
                <w:sz w:val="28"/>
              </w:rPr>
              <w:t>Адаптация объёма и содержания заданий. Материал преподносится дозированно, небольшими порциями, увеличивается время на выполнение задания.</w:t>
            </w:r>
          </w:p>
          <w:p>
            <w:pPr>
              <w:pStyle w:val="style179"/>
              <w:numPr>
                <w:ilvl w:val="0"/>
                <w:numId w:val="25"/>
              </w:numPr>
              <w:suppressAutoHyphens/>
              <w:rPr>
                <w:sz w:val="28"/>
              </w:rPr>
            </w:pPr>
            <w:r>
              <w:rPr>
                <w:sz w:val="28"/>
              </w:rPr>
              <w:t>Использование наглядности. Наборы картинной азбуки, таблицы, схемы, графические материалы, алгоритмы решения задач помогают лучше усваивать информацию.</w:t>
            </w:r>
          </w:p>
          <w:p>
            <w:pPr>
              <w:pStyle w:val="style179"/>
              <w:numPr>
                <w:ilvl w:val="0"/>
                <w:numId w:val="25"/>
              </w:numPr>
              <w:suppressAutoHyphens/>
              <w:rPr>
                <w:sz w:val="28"/>
              </w:rPr>
            </w:pPr>
            <w:r>
              <w:rPr>
                <w:sz w:val="28"/>
              </w:rPr>
              <w:t>Организация рабочего места. Обязательное условие — возможность постоянно находиться в зоне внимания педагога.</w:t>
            </w:r>
          </w:p>
          <w:p>
            <w:pPr>
              <w:pStyle w:val="style179"/>
              <w:numPr>
                <w:ilvl w:val="0"/>
                <w:numId w:val="25"/>
              </w:numPr>
              <w:suppressAutoHyphens/>
              <w:rPr>
                <w:sz w:val="28"/>
              </w:rPr>
            </w:pPr>
            <w:r>
              <w:rPr>
                <w:sz w:val="28"/>
              </w:rPr>
              <w:t>Использование специальных учебных пособий, вспомогательных средств, ресурсов электронного обучения.</w:t>
            </w:r>
          </w:p>
          <w:p>
            <w:pPr>
              <w:pStyle w:val="style179"/>
              <w:numPr>
                <w:ilvl w:val="0"/>
                <w:numId w:val="25"/>
              </w:numPr>
              <w:suppressAutoHyphens/>
              <w:rPr>
                <w:sz w:val="28"/>
                <w:szCs w:val="28"/>
              </w:rPr>
            </w:pPr>
            <w:r>
              <w:rPr>
                <w:sz w:val="28"/>
              </w:rPr>
              <w:t xml:space="preserve">Организация временного режима и специального пространства. Это помогает предотвратить утомление и зрительные перегрузки, а также разместить средства, которые облегчают восприятие и усвоение учебного материала (визуальные подсказки, расписание, символы).  </w:t>
            </w:r>
          </w:p>
        </w:tc>
        <w:tc>
          <w:tcPr>
            <w:tcW w:w="7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style0"/>
              <w:suppressAutoHyphens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eastAsia="en-US"/>
              </w:rPr>
              <w:t>Средства обучения</w:t>
            </w:r>
            <w:r>
              <w:rPr>
                <w:rFonts w:ascii="Times New Roman" w:cs="Times New Roman" w:hAnsi="Times New Roman"/>
                <w:sz w:val="28"/>
                <w:szCs w:val="28"/>
                <w:lang w:eastAsia="en-US"/>
              </w:rPr>
              <w:t>:</w:t>
            </w:r>
          </w:p>
          <w:p>
            <w:pPr>
              <w:pStyle w:val="style179"/>
              <w:numPr>
                <w:ilvl w:val="0"/>
                <w:numId w:val="26"/>
              </w:numPr>
              <w:suppressAutoHyphens/>
              <w:rPr>
                <w:sz w:val="28"/>
              </w:rPr>
            </w:pPr>
            <w:r>
              <w:rPr>
                <w:sz w:val="28"/>
              </w:rPr>
              <w:t>Наглядные пособия. Картинки, демонстрации предметов и опытов, компьютерные презентации, таблицы, схемы. Применение наглядных средств способствует повышению учебной мотивации, формированию положительного эмоционального настроя, активизации познавательной деятельности. </w:t>
            </w:r>
          </w:p>
          <w:p>
            <w:pPr>
              <w:pStyle w:val="style179"/>
              <w:numPr>
                <w:ilvl w:val="0"/>
                <w:numId w:val="26"/>
              </w:numPr>
              <w:suppressAutoHyphens/>
              <w:rPr>
                <w:sz w:val="28"/>
              </w:rPr>
            </w:pPr>
            <w:r>
              <w:rPr>
                <w:sz w:val="28"/>
              </w:rPr>
              <w:t>Специализированные дидактические комплекты. Например, наборы «</w:t>
            </w:r>
            <w:r>
              <w:rPr>
                <w:sz w:val="28"/>
              </w:rPr>
              <w:t>Нумикон</w:t>
            </w:r>
            <w:r>
              <w:rPr>
                <w:sz w:val="28"/>
              </w:rPr>
              <w:t>» (</w:t>
            </w:r>
            <w:r>
              <w:rPr>
                <w:sz w:val="28"/>
              </w:rPr>
              <w:t>Numicon</w:t>
            </w:r>
            <w:r>
              <w:rPr>
                <w:sz w:val="28"/>
              </w:rPr>
              <w:t>), которые ориентированы на развитие мелкой моторики, логики и внимания. </w:t>
            </w:r>
          </w:p>
          <w:p>
            <w:pPr>
              <w:pStyle w:val="style179"/>
              <w:numPr>
                <w:ilvl w:val="0"/>
                <w:numId w:val="26"/>
              </w:numPr>
              <w:suppressAutoHyphens/>
              <w:rPr>
                <w:sz w:val="28"/>
              </w:rPr>
            </w:pPr>
            <w:r>
              <w:rPr>
                <w:sz w:val="28"/>
              </w:rPr>
              <w:t>Технические средства обучения. К ним относятся аудиовизуальные учебники, обучающие компьютерные игры, специализированные учебно-тренировочные устройства.</w:t>
            </w:r>
          </w:p>
          <w:p>
            <w:pPr>
              <w:pStyle w:val="style179"/>
              <w:numPr>
                <w:ilvl w:val="0"/>
                <w:numId w:val="26"/>
              </w:numPr>
              <w:suppressAutoHyphens/>
              <w:rPr>
                <w:sz w:val="28"/>
              </w:rPr>
            </w:pPr>
            <w:r>
              <w:rPr>
                <w:sz w:val="28"/>
              </w:rPr>
              <w:t xml:space="preserve">Мультимедийная аппаратура. К ней относятся </w:t>
            </w:r>
            <w:r>
              <w:rPr>
                <w:sz w:val="28"/>
              </w:rPr>
              <w:t>мультимедиа-компьютер</w:t>
            </w:r>
            <w:r>
              <w:rPr>
                <w:sz w:val="28"/>
              </w:rPr>
              <w:t>, мультимедийный проектор, интерактивная доска.</w:t>
            </w:r>
          </w:p>
          <w:p>
            <w:pPr>
              <w:pStyle w:val="style179"/>
              <w:numPr>
                <w:ilvl w:val="0"/>
                <w:numId w:val="26"/>
              </w:numPr>
              <w:suppressAutoHyphens/>
              <w:rPr>
                <w:sz w:val="28"/>
                <w:szCs w:val="28"/>
              </w:rPr>
            </w:pPr>
            <w:r>
              <w:rPr>
                <w:sz w:val="28"/>
              </w:rPr>
              <w:t>Также для коррекционных кабинетов важно оснащение наглядными пособиями, интерактивными панелями, звуковыми и тактильными материалами, мозаикой, конструкторами и тренажёрами для моторики</w:t>
            </w:r>
            <w:r>
              <w:rPr>
                <w:sz w:val="28"/>
              </w:rPr>
              <w:t>.</w:t>
            </w:r>
          </w:p>
          <w:p>
            <w:pPr>
              <w:pStyle w:val="style0"/>
              <w:suppressAutoHyphens/>
              <w:spacing w:after="0" w:lineRule="auto" w:line="240"/>
              <w:jc w:val="center"/>
              <w:rPr>
                <w:rFonts w:ascii="Times New Roman" w:cs="Times New Roman" w:hAnsi="Times New Roman"/>
                <w:sz w:val="28"/>
                <w:szCs w:val="28"/>
                <w:lang w:eastAsia="en-US"/>
              </w:rPr>
            </w:pPr>
          </w:p>
        </w:tc>
      </w:tr>
    </w:tbl>
    <w:p>
      <w:pPr>
        <w:pStyle w:val="style0"/>
        <w:shd w:val="clear" w:color="auto" w:fill="ffffff"/>
        <w:spacing w:after="0" w:lineRule="auto" w:line="240"/>
        <w:ind w:left="0" w:firstLine="0"/>
        <w:outlineLvl w:val="1"/>
        <w:rPr>
          <w:rFonts w:ascii="Times New Roman" w:cs="Times New Roman" w:hAnsi="Times New Roman"/>
          <w:sz w:val="28"/>
          <w:szCs w:val="28"/>
        </w:rPr>
      </w:pPr>
    </w:p>
    <w:sectPr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altName w:val="Segoe UI Symbol"/>
    <w:panose1 w:val="020b0502040002020203"/>
    <w:charset w:val="00"/>
    <w:family w:val="swiss"/>
    <w:pitch w:val="variable"/>
    <w:sig w:usb0="800001E3" w:usb1="1200FFEF" w:usb2="00040000" w:usb3="00000000" w:csb0="00000001" w:csb1="00000000"/>
  </w:font>
  <w:font w:name="Calibri">
    <w:altName w:val="Calibri"/>
    <w:panose1 w:val="020f0502020002030204"/>
    <w:charset w:val="cc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004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7966B06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000001"/>
    <w:multiLevelType w:val="hybridMultilevel"/>
    <w:tmpl w:val="5DF26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9266D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9AE6FB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4"/>
    <w:multiLevelType w:val="multilevel"/>
    <w:tmpl w:val="575E0CF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0000005"/>
    <w:multiLevelType w:val="multilevel"/>
    <w:tmpl w:val="BB007EF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0000006"/>
    <w:multiLevelType w:val="hybridMultilevel"/>
    <w:tmpl w:val="BAC22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49B65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E86620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9"/>
    <w:multiLevelType w:val="hybridMultilevel"/>
    <w:tmpl w:val="022A3FC2"/>
    <w:lvl w:ilvl="0" w:tplc="0419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10">
    <w:nsid w:val="0000000A"/>
    <w:multiLevelType w:val="hybridMultilevel"/>
    <w:tmpl w:val="3DEAB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B"/>
    <w:multiLevelType w:val="hybridMultilevel"/>
    <w:tmpl w:val="E1DEAC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000000C"/>
    <w:multiLevelType w:val="hybridMultilevel"/>
    <w:tmpl w:val="E2D218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FA30B7BC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4">
    <w:nsid w:val="0000000E"/>
    <w:multiLevelType w:val="hybridMultilevel"/>
    <w:tmpl w:val="B7BAC806"/>
    <w:lvl w:ilvl="0" w:tplc="216EF922">
      <w:start w:val="1"/>
      <w:numFmt w:val="bullet"/>
      <w:lvlText w:val="❖"/>
      <w:lvlJc w:val="left"/>
      <w:pPr>
        <w:ind w:left="150" w:hanging="708"/>
      </w:pPr>
      <w:rPr>
        <w:rFonts w:ascii="Segoe UI Symbol" w:cs="Segoe UI Symbol" w:eastAsia="Segoe UI Symbol" w:hAnsi="Segoe UI Symbol" w:hint="default"/>
        <w:spacing w:val="0"/>
        <w:w w:val="99"/>
        <w:lang w:val="ru-RU" w:bidi="ar-SA" w:eastAsia="en-US"/>
      </w:rPr>
    </w:lvl>
    <w:lvl w:ilvl="1" w:tplc="1C04152E">
      <w:start w:val="1"/>
      <w:numFmt w:val="bullet"/>
      <w:lvlText w:val="❖"/>
      <w:lvlJc w:val="left"/>
      <w:pPr>
        <w:ind w:left="150" w:hanging="566"/>
      </w:pPr>
      <w:rPr>
        <w:rFonts w:ascii="Segoe UI Symbol" w:cs="Segoe UI Symbol" w:eastAsia="Segoe UI Symbol" w:hAnsi="Segoe UI Symbol" w:hint="default"/>
        <w:b w:val="false"/>
        <w:bCs w:val="false"/>
        <w:i w:val="false"/>
        <w:iCs w:val="false"/>
        <w:spacing w:val="0"/>
        <w:w w:val="99"/>
        <w:sz w:val="28"/>
        <w:szCs w:val="28"/>
        <w:lang w:val="ru-RU" w:bidi="ar-SA" w:eastAsia="en-US"/>
      </w:rPr>
    </w:lvl>
    <w:lvl w:ilvl="2" w:tplc="C79A0E7C">
      <w:start w:val="1"/>
      <w:numFmt w:val="bullet"/>
      <w:lvlText w:val="•"/>
      <w:lvlJc w:val="left"/>
      <w:pPr>
        <w:ind w:left="2054" w:hanging="566"/>
      </w:pPr>
      <w:rPr>
        <w:rFonts w:hint="default"/>
        <w:lang w:val="ru-RU" w:bidi="ar-SA" w:eastAsia="en-US"/>
      </w:rPr>
    </w:lvl>
    <w:lvl w:ilvl="3" w:tplc="05E8D804">
      <w:start w:val="1"/>
      <w:numFmt w:val="bullet"/>
      <w:lvlText w:val="•"/>
      <w:lvlJc w:val="left"/>
      <w:pPr>
        <w:ind w:left="3001" w:hanging="566"/>
      </w:pPr>
      <w:rPr>
        <w:rFonts w:hint="default"/>
        <w:lang w:val="ru-RU" w:bidi="ar-SA" w:eastAsia="en-US"/>
      </w:rPr>
    </w:lvl>
    <w:lvl w:ilvl="4" w:tplc="B29EEEEC">
      <w:start w:val="1"/>
      <w:numFmt w:val="bullet"/>
      <w:lvlText w:val="•"/>
      <w:lvlJc w:val="left"/>
      <w:pPr>
        <w:ind w:left="3949" w:hanging="566"/>
      </w:pPr>
      <w:rPr>
        <w:rFonts w:hint="default"/>
        <w:lang w:val="ru-RU" w:bidi="ar-SA" w:eastAsia="en-US"/>
      </w:rPr>
    </w:lvl>
    <w:lvl w:ilvl="5" w:tplc="5DF61A84">
      <w:start w:val="1"/>
      <w:numFmt w:val="bullet"/>
      <w:lvlText w:val="•"/>
      <w:lvlJc w:val="left"/>
      <w:pPr>
        <w:ind w:left="4896" w:hanging="566"/>
      </w:pPr>
      <w:rPr>
        <w:rFonts w:hint="default"/>
        <w:lang w:val="ru-RU" w:bidi="ar-SA" w:eastAsia="en-US"/>
      </w:rPr>
    </w:lvl>
    <w:lvl w:ilvl="6" w:tplc="9C20E888">
      <w:start w:val="1"/>
      <w:numFmt w:val="bullet"/>
      <w:lvlText w:val="•"/>
      <w:lvlJc w:val="left"/>
      <w:pPr>
        <w:ind w:left="5843" w:hanging="566"/>
      </w:pPr>
      <w:rPr>
        <w:rFonts w:hint="default"/>
        <w:lang w:val="ru-RU" w:bidi="ar-SA" w:eastAsia="en-US"/>
      </w:rPr>
    </w:lvl>
    <w:lvl w:ilvl="7" w:tplc="585C4A2E">
      <w:start w:val="1"/>
      <w:numFmt w:val="bullet"/>
      <w:lvlText w:val="•"/>
      <w:lvlJc w:val="left"/>
      <w:pPr>
        <w:ind w:left="6791" w:hanging="566"/>
      </w:pPr>
      <w:rPr>
        <w:rFonts w:hint="default"/>
        <w:lang w:val="ru-RU" w:bidi="ar-SA" w:eastAsia="en-US"/>
      </w:rPr>
    </w:lvl>
    <w:lvl w:ilvl="8" w:tplc="330A7EE6">
      <w:start w:val="1"/>
      <w:numFmt w:val="bullet"/>
      <w:lvlText w:val="•"/>
      <w:lvlJc w:val="left"/>
      <w:pPr>
        <w:ind w:left="7738" w:hanging="566"/>
      </w:pPr>
      <w:rPr>
        <w:rFonts w:hint="default"/>
        <w:lang w:val="ru-RU" w:bidi="ar-SA" w:eastAsia="en-US"/>
      </w:rPr>
    </w:lvl>
  </w:abstractNum>
  <w:abstractNum w:abstractNumId="15">
    <w:nsid w:val="0000000F"/>
    <w:multiLevelType w:val="multilevel"/>
    <w:tmpl w:val="9B5243B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00000010"/>
    <w:multiLevelType w:val="multilevel"/>
    <w:tmpl w:val="A344F4A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0000011"/>
    <w:multiLevelType w:val="hybridMultilevel"/>
    <w:tmpl w:val="298070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0000012"/>
    <w:multiLevelType w:val="hybridMultilevel"/>
    <w:tmpl w:val="3C748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0000013"/>
    <w:multiLevelType w:val="multilevel"/>
    <w:tmpl w:val="50983D4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00000014"/>
    <w:multiLevelType w:val="hybridMultilevel"/>
    <w:tmpl w:val="8C06628C"/>
    <w:lvl w:ilvl="0" w:tplc="00145BA6">
      <w:start w:val="1"/>
      <w:numFmt w:val="decimal"/>
      <w:lvlText w:val="%1."/>
      <w:lvlJc w:val="left"/>
      <w:pPr>
        <w:ind w:left="858" w:hanging="708"/>
        <w:jc w:val="right"/>
      </w:pPr>
      <w:rPr>
        <w:rFonts w:ascii="Times New Roman" w:cs="Times New Roman" w:eastAsia="Times New Roman" w:hAnsi="Times New Roman" w:hint="default"/>
        <w:b/>
        <w:bCs/>
        <w:i w:val="false"/>
        <w:iCs w:val="false"/>
        <w:color w:val="333333"/>
        <w:spacing w:val="0"/>
        <w:w w:val="99"/>
        <w:sz w:val="28"/>
        <w:szCs w:val="28"/>
        <w:lang w:val="ru-RU" w:bidi="ar-SA" w:eastAsia="en-US"/>
      </w:rPr>
    </w:lvl>
    <w:lvl w:ilvl="1" w:tplc="78F6ED24">
      <w:start w:val="1"/>
      <w:numFmt w:val="bullet"/>
      <w:lvlText w:val="-"/>
      <w:lvlJc w:val="left"/>
      <w:pPr>
        <w:ind w:left="150" w:hanging="708"/>
      </w:pPr>
      <w:rPr>
        <w:rFonts w:ascii="Times New Roman" w:cs="Times New Roman" w:eastAsia="Times New Roman" w:hAnsi="Times New Roman" w:hint="default"/>
        <w:spacing w:val="0"/>
        <w:w w:val="99"/>
        <w:lang w:val="ru-RU" w:bidi="ar-SA" w:eastAsia="en-US"/>
      </w:rPr>
    </w:lvl>
    <w:lvl w:ilvl="2" w:tplc="3DCC0842">
      <w:start w:val="1"/>
      <w:numFmt w:val="bullet"/>
      <w:lvlText w:val="•"/>
      <w:lvlJc w:val="left"/>
      <w:pPr>
        <w:ind w:left="1834" w:hanging="708"/>
      </w:pPr>
      <w:rPr>
        <w:rFonts w:hint="default"/>
        <w:lang w:val="ru-RU" w:bidi="ar-SA" w:eastAsia="en-US"/>
      </w:rPr>
    </w:lvl>
    <w:lvl w:ilvl="3" w:tplc="40683420">
      <w:start w:val="1"/>
      <w:numFmt w:val="bullet"/>
      <w:lvlText w:val="•"/>
      <w:lvlJc w:val="left"/>
      <w:pPr>
        <w:ind w:left="2809" w:hanging="708"/>
      </w:pPr>
      <w:rPr>
        <w:rFonts w:hint="default"/>
        <w:lang w:val="ru-RU" w:bidi="ar-SA" w:eastAsia="en-US"/>
      </w:rPr>
    </w:lvl>
    <w:lvl w:ilvl="4" w:tplc="FFF4C392">
      <w:start w:val="1"/>
      <w:numFmt w:val="bullet"/>
      <w:lvlText w:val="•"/>
      <w:lvlJc w:val="left"/>
      <w:pPr>
        <w:ind w:left="3784" w:hanging="708"/>
      </w:pPr>
      <w:rPr>
        <w:rFonts w:hint="default"/>
        <w:lang w:val="ru-RU" w:bidi="ar-SA" w:eastAsia="en-US"/>
      </w:rPr>
    </w:lvl>
    <w:lvl w:ilvl="5" w:tplc="2B94150A">
      <w:start w:val="1"/>
      <w:numFmt w:val="bullet"/>
      <w:lvlText w:val="•"/>
      <w:lvlJc w:val="left"/>
      <w:pPr>
        <w:ind w:left="4759" w:hanging="708"/>
      </w:pPr>
      <w:rPr>
        <w:rFonts w:hint="default"/>
        <w:lang w:val="ru-RU" w:bidi="ar-SA" w:eastAsia="en-US"/>
      </w:rPr>
    </w:lvl>
    <w:lvl w:ilvl="6" w:tplc="A1ACBDA0">
      <w:start w:val="1"/>
      <w:numFmt w:val="bullet"/>
      <w:lvlText w:val="•"/>
      <w:lvlJc w:val="left"/>
      <w:pPr>
        <w:ind w:left="5733" w:hanging="708"/>
      </w:pPr>
      <w:rPr>
        <w:rFonts w:hint="default"/>
        <w:lang w:val="ru-RU" w:bidi="ar-SA" w:eastAsia="en-US"/>
      </w:rPr>
    </w:lvl>
    <w:lvl w:ilvl="7" w:tplc="2C7A9AC8">
      <w:start w:val="1"/>
      <w:numFmt w:val="bullet"/>
      <w:lvlText w:val="•"/>
      <w:lvlJc w:val="left"/>
      <w:pPr>
        <w:ind w:left="6708" w:hanging="708"/>
      </w:pPr>
      <w:rPr>
        <w:rFonts w:hint="default"/>
        <w:lang w:val="ru-RU" w:bidi="ar-SA" w:eastAsia="en-US"/>
      </w:rPr>
    </w:lvl>
    <w:lvl w:ilvl="8" w:tplc="7B3046F2">
      <w:start w:val="1"/>
      <w:numFmt w:val="bullet"/>
      <w:lvlText w:val="•"/>
      <w:lvlJc w:val="left"/>
      <w:pPr>
        <w:ind w:left="7683" w:hanging="708"/>
      </w:pPr>
      <w:rPr>
        <w:rFonts w:hint="default"/>
        <w:lang w:val="ru-RU" w:bidi="ar-SA" w:eastAsia="en-US"/>
      </w:rPr>
    </w:lvl>
  </w:abstractNum>
  <w:abstractNum w:abstractNumId="21">
    <w:nsid w:val="00000015"/>
    <w:multiLevelType w:val="multilevel"/>
    <w:tmpl w:val="1598A85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0000016"/>
    <w:multiLevelType w:val="hybridMultilevel"/>
    <w:tmpl w:val="7E04EB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3708AE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00000018"/>
    <w:multiLevelType w:val="hybridMultilevel"/>
    <w:tmpl w:val="93A00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00000019"/>
    <w:multiLevelType w:val="multilevel"/>
    <w:tmpl w:val="A27AB15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14"/>
  </w:num>
  <w:num w:numId="4">
    <w:abstractNumId w:val="16"/>
  </w:num>
  <w:num w:numId="5">
    <w:abstractNumId w:val="5"/>
  </w:num>
  <w:num w:numId="6">
    <w:abstractNumId w:val="15"/>
  </w:num>
  <w:num w:numId="7">
    <w:abstractNumId w:val="4"/>
  </w:num>
  <w:num w:numId="8">
    <w:abstractNumId w:val="25"/>
  </w:num>
  <w:num w:numId="9">
    <w:abstractNumId w:val="21"/>
  </w:num>
  <w:num w:numId="10">
    <w:abstractNumId w:val="19"/>
  </w:num>
  <w:num w:numId="11">
    <w:abstractNumId w:val="0"/>
  </w:num>
  <w:num w:numId="12">
    <w:abstractNumId w:val="11"/>
  </w:num>
  <w:num w:numId="13">
    <w:abstractNumId w:val="13"/>
  </w:num>
  <w:num w:numId="14">
    <w:abstractNumId w:val="9"/>
  </w:num>
  <w:num w:numId="15">
    <w:abstractNumId w:val="17"/>
  </w:num>
  <w:num w:numId="16">
    <w:abstractNumId w:val="8"/>
  </w:num>
  <w:num w:numId="17">
    <w:abstractNumId w:val="12"/>
  </w:num>
  <w:num w:numId="18">
    <w:abstractNumId w:val="1"/>
  </w:num>
  <w:num w:numId="19">
    <w:abstractNumId w:val="7"/>
  </w:num>
  <w:num w:numId="20">
    <w:abstractNumId w:val="6"/>
  </w:num>
  <w:num w:numId="21">
    <w:abstractNumId w:val="3"/>
  </w:num>
  <w:num w:numId="22">
    <w:abstractNumId w:val="22"/>
  </w:num>
  <w:num w:numId="23">
    <w:abstractNumId w:val="24"/>
  </w:num>
  <w:num w:numId="24">
    <w:abstractNumId w:val="2"/>
  </w:num>
  <w:num w:numId="25">
    <w:abstractNumId w:val="10"/>
  </w:num>
  <w:num w:numId="26">
    <w:abstractNumId w:val="23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drawingGridHorizontalSpacing w:val="9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>
      <w:spacing w:after="211" w:lineRule="auto" w:line="264"/>
      <w:ind w:left="10" w:right="1252" w:hanging="10"/>
    </w:pPr>
    <w:rPr>
      <w:rFonts w:ascii="Calibri" w:cs="Calibri" w:eastAsia="Calibri" w:hAnsi="Calibri"/>
      <w:color w:val="000000"/>
      <w:sz w:val="18"/>
      <w:lang w:eastAsia="ru-RU"/>
    </w:rPr>
  </w:style>
  <w:style w:type="paragraph" w:styleId="style2">
    <w:name w:val="heading 2"/>
    <w:basedOn w:val="style0"/>
    <w:next w:val="style0"/>
    <w:link w:val="style4097"/>
    <w:qFormat/>
    <w:uiPriority w:val="9"/>
    <w:pPr>
      <w:keepNext/>
      <w:keepLines/>
      <w:spacing w:before="40" w:after="0"/>
      <w:outlineLvl w:val="1"/>
    </w:pPr>
    <w:rPr>
      <w:rFonts w:ascii="Cambria" w:cs="宋体" w:eastAsia="宋体" w:hAnsi="Cambria"/>
      <w:color w:val="365f91"/>
      <w:sz w:val="26"/>
      <w:szCs w:val="26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Заголовок 2 Знак"/>
    <w:basedOn w:val="style65"/>
    <w:next w:val="style4097"/>
    <w:link w:val="style2"/>
    <w:uiPriority w:val="9"/>
    <w:rPr>
      <w:rFonts w:ascii="Cambria" w:cs="宋体" w:eastAsia="宋体" w:hAnsi="Cambria"/>
      <w:color w:val="365f91"/>
      <w:sz w:val="26"/>
      <w:szCs w:val="26"/>
      <w:lang w:eastAsia="ru-RU"/>
    </w:rPr>
  </w:style>
  <w:style w:type="paragraph" w:styleId="style179">
    <w:name w:val="List Paragraph"/>
    <w:basedOn w:val="style0"/>
    <w:next w:val="style179"/>
    <w:qFormat/>
    <w:uiPriority w:val="1"/>
    <w:pPr>
      <w:widowControl w:val="false"/>
      <w:autoSpaceDE w:val="false"/>
      <w:autoSpaceDN w:val="false"/>
      <w:spacing w:after="0" w:lineRule="auto" w:line="240"/>
      <w:ind w:left="150" w:right="0" w:firstLine="0"/>
      <w:jc w:val="both"/>
    </w:pPr>
    <w:rPr>
      <w:rFonts w:ascii="Times New Roman" w:cs="Times New Roman" w:eastAsia="Times New Roman" w:hAnsi="Times New Roman"/>
      <w:color w:val="auto"/>
      <w:sz w:val="22"/>
      <w:lang w:eastAsia="en-US"/>
    </w:rPr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character" w:customStyle="1" w:styleId="style4098">
    <w:name w:val="Unresolved Mention"/>
    <w:basedOn w:val="style65"/>
    <w:next w:val="style4098"/>
    <w:uiPriority w:val="99"/>
    <w:rPr>
      <w:color w:val="605e5c"/>
      <w:shd w:val="clear" w:color="auto" w:fill="e1dfdd"/>
    </w:rPr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17611-7681-4992-AFBC-46725E45E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Words>900</Words>
  <Pages>9</Pages>
  <Characters>7513</Characters>
  <Application>WPS Office</Application>
  <DocSecurity>0</DocSecurity>
  <Paragraphs>160</Paragraphs>
  <ScaleCrop>false</ScaleCrop>
  <LinksUpToDate>false</LinksUpToDate>
  <CharactersWithSpaces>8376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2024-11-17T13:35:00Z</dcterms:created>
  <dc:creator>Владимир Семёнов</dc:creator>
  <lastModifiedBy>CRT-LX1</lastModifiedBy>
  <dcterms:modified xsi:type="dcterms:W3CDTF">2025-12-21T19:20:07Z</dcterms:modified>
  <revision>27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9c34c1d6554348d6a2d4cd2ad4f66baa</vt:lpwstr>
  </property>
</Properties>
</file>