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DBDC0" w14:textId="77777777" w:rsidR="002801A3" w:rsidRPr="002801A3" w:rsidRDefault="002801A3" w:rsidP="002801A3">
      <w:pPr>
        <w:spacing w:line="240" w:lineRule="atLeast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2801A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Государственное бюджетное образовательное учреждение</w:t>
      </w:r>
    </w:p>
    <w:p w14:paraId="5025735F" w14:textId="77777777" w:rsidR="002801A3" w:rsidRPr="002801A3" w:rsidRDefault="002801A3" w:rsidP="002801A3">
      <w:pPr>
        <w:spacing w:line="240" w:lineRule="atLeast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2801A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дополнительного профессионального образования </w:t>
      </w:r>
    </w:p>
    <w:p w14:paraId="47C7F0D5" w14:textId="77777777" w:rsidR="002801A3" w:rsidRPr="00E85F2F" w:rsidRDefault="002801A3" w:rsidP="002801A3">
      <w:pPr>
        <w:spacing w:line="240" w:lineRule="atLeast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2801A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«Нижегородский институт развития образования</w:t>
      </w:r>
      <w:r w:rsidRPr="00E85F2F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»</w:t>
      </w:r>
    </w:p>
    <w:p w14:paraId="70834A46" w14:textId="77777777" w:rsidR="00816124" w:rsidRDefault="00816124" w:rsidP="002801A3">
      <w:pPr>
        <w:jc w:val="center"/>
      </w:pPr>
    </w:p>
    <w:p w14:paraId="3D8FBBDF" w14:textId="77777777" w:rsidR="002801A3" w:rsidRDefault="002801A3" w:rsidP="002801A3">
      <w:pPr>
        <w:jc w:val="center"/>
      </w:pPr>
    </w:p>
    <w:p w14:paraId="5002EF1E" w14:textId="77777777" w:rsidR="002801A3" w:rsidRDefault="002801A3" w:rsidP="002801A3">
      <w:pPr>
        <w:jc w:val="center"/>
      </w:pPr>
    </w:p>
    <w:p w14:paraId="4BC92892" w14:textId="77777777" w:rsidR="002801A3" w:rsidRPr="00E85F2F" w:rsidRDefault="002801A3" w:rsidP="002801A3">
      <w:pPr>
        <w:spacing w:after="0" w:line="240" w:lineRule="auto"/>
        <w:jc w:val="center"/>
        <w:rPr>
          <w:rStyle w:val="ac"/>
          <w:rFonts w:ascii="Times New Roman" w:hAnsi="Times New Roman" w:cs="Times New Roman"/>
          <w:b w:val="0"/>
          <w:sz w:val="28"/>
          <w:szCs w:val="28"/>
        </w:rPr>
      </w:pPr>
      <w:r w:rsidRPr="00E85F2F">
        <w:rPr>
          <w:rStyle w:val="ac"/>
          <w:rFonts w:ascii="Times New Roman" w:hAnsi="Times New Roman" w:cs="Times New Roman"/>
          <w:sz w:val="28"/>
          <w:szCs w:val="28"/>
        </w:rPr>
        <w:t>ОБРАЗОВАТЕЛЬНЫЙ ПРОЕКТ</w:t>
      </w:r>
    </w:p>
    <w:p w14:paraId="53324D37" w14:textId="77777777" w:rsidR="002801A3" w:rsidRPr="002801A3" w:rsidRDefault="002801A3" w:rsidP="002801A3">
      <w:pPr>
        <w:jc w:val="center"/>
        <w:rPr>
          <w:rFonts w:ascii="Times New Roman" w:hAnsi="Times New Roman" w:cs="Times New Roman"/>
        </w:rPr>
      </w:pPr>
    </w:p>
    <w:p w14:paraId="06D82820" w14:textId="77777777" w:rsidR="002801A3" w:rsidRDefault="002801A3" w:rsidP="002801A3">
      <w:pPr>
        <w:jc w:val="center"/>
      </w:pPr>
    </w:p>
    <w:p w14:paraId="4391B9DC" w14:textId="27C5F76C" w:rsidR="002801A3" w:rsidRPr="00B422A2" w:rsidRDefault="00B422A2" w:rsidP="002801A3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="002801A3" w:rsidRPr="00B422A2">
        <w:rPr>
          <w:rFonts w:ascii="Times New Roman" w:hAnsi="Times New Roman" w:cs="Times New Roman"/>
          <w:b/>
          <w:noProof/>
          <w:sz w:val="28"/>
          <w:szCs w:val="28"/>
        </w:rPr>
        <w:t xml:space="preserve">«Освоение детьми раннего возраста сенсорных эталонов посредством </w:t>
      </w:r>
    </w:p>
    <w:p w14:paraId="35A00172" w14:textId="48940304" w:rsidR="002801A3" w:rsidRPr="00B422A2" w:rsidRDefault="002801A3" w:rsidP="002801A3">
      <w:pPr>
        <w:spacing w:after="0" w:line="240" w:lineRule="auto"/>
        <w:jc w:val="center"/>
        <w:rPr>
          <w:rStyle w:val="ac"/>
          <w:rFonts w:ascii="Times New Roman" w:hAnsi="Times New Roman" w:cs="Times New Roman"/>
          <w:b w:val="0"/>
          <w:sz w:val="28"/>
          <w:szCs w:val="28"/>
        </w:rPr>
      </w:pPr>
      <w:r w:rsidRPr="00B422A2">
        <w:rPr>
          <w:rFonts w:ascii="Times New Roman" w:hAnsi="Times New Roman" w:cs="Times New Roman"/>
          <w:b/>
          <w:noProof/>
          <w:sz w:val="28"/>
          <w:szCs w:val="28"/>
        </w:rPr>
        <w:t>дидактических игр»</w:t>
      </w:r>
    </w:p>
    <w:p w14:paraId="33C80896" w14:textId="77777777" w:rsidR="002801A3" w:rsidRDefault="002801A3" w:rsidP="002801A3">
      <w:pPr>
        <w:jc w:val="center"/>
      </w:pPr>
    </w:p>
    <w:p w14:paraId="458684C3" w14:textId="77777777" w:rsidR="002801A3" w:rsidRDefault="002801A3" w:rsidP="002801A3">
      <w:pPr>
        <w:jc w:val="center"/>
      </w:pPr>
    </w:p>
    <w:p w14:paraId="2A4AA255" w14:textId="77777777" w:rsidR="002801A3" w:rsidRDefault="002801A3" w:rsidP="002801A3">
      <w:pPr>
        <w:spacing w:after="0" w:line="240" w:lineRule="auto"/>
        <w:jc w:val="right"/>
        <w:rPr>
          <w:rStyle w:val="ac"/>
          <w:rFonts w:ascii="Times New Roman" w:hAnsi="Times New Roman" w:cs="Times New Roman"/>
          <w:sz w:val="28"/>
          <w:szCs w:val="28"/>
        </w:rPr>
      </w:pPr>
      <w:r w:rsidRPr="00E85F2F">
        <w:rPr>
          <w:rStyle w:val="ac"/>
          <w:rFonts w:ascii="Times New Roman" w:hAnsi="Times New Roman" w:cs="Times New Roman"/>
          <w:sz w:val="28"/>
          <w:szCs w:val="28"/>
        </w:rPr>
        <w:t xml:space="preserve">Выполнила: </w:t>
      </w:r>
    </w:p>
    <w:p w14:paraId="450C25B5" w14:textId="41C7A78C" w:rsidR="00B422A2" w:rsidRDefault="00B422A2" w:rsidP="00B422A2">
      <w:pPr>
        <w:spacing w:after="0" w:line="240" w:lineRule="auto"/>
        <w:jc w:val="right"/>
        <w:rPr>
          <w:rStyle w:val="ac"/>
          <w:rFonts w:ascii="Times New Roman" w:hAnsi="Times New Roman" w:cs="Times New Roman"/>
          <w:bCs w:val="0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sz w:val="28"/>
          <w:szCs w:val="28"/>
        </w:rPr>
        <w:t xml:space="preserve">Воспитатель </w:t>
      </w:r>
      <w:r>
        <w:rPr>
          <w:rStyle w:val="ac"/>
          <w:rFonts w:ascii="Times New Roman" w:hAnsi="Times New Roman" w:cs="Times New Roman"/>
          <w:bCs w:val="0"/>
          <w:sz w:val="28"/>
          <w:szCs w:val="28"/>
        </w:rPr>
        <w:t xml:space="preserve">МАДОУ </w:t>
      </w:r>
    </w:p>
    <w:p w14:paraId="573E0115" w14:textId="09E9B5C3" w:rsidR="00B422A2" w:rsidRDefault="00B422A2" w:rsidP="00B422A2">
      <w:pPr>
        <w:spacing w:after="0" w:line="240" w:lineRule="auto"/>
        <w:jc w:val="right"/>
        <w:rPr>
          <w:rStyle w:val="ac"/>
          <w:rFonts w:ascii="Times New Roman" w:hAnsi="Times New Roman" w:cs="Times New Roman"/>
          <w:sz w:val="28"/>
          <w:szCs w:val="28"/>
        </w:rPr>
      </w:pPr>
      <w:r w:rsidRPr="00E85F2F">
        <w:rPr>
          <w:rStyle w:val="ac"/>
          <w:rFonts w:ascii="Times New Roman" w:hAnsi="Times New Roman" w:cs="Times New Roman"/>
          <w:sz w:val="28"/>
          <w:szCs w:val="28"/>
        </w:rPr>
        <w:t>«Детский сад №</w:t>
      </w:r>
      <w:r>
        <w:rPr>
          <w:rStyle w:val="ac"/>
          <w:rFonts w:ascii="Times New Roman" w:hAnsi="Times New Roman" w:cs="Times New Roman"/>
          <w:sz w:val="28"/>
          <w:szCs w:val="28"/>
        </w:rPr>
        <w:t>52 Ладушки</w:t>
      </w:r>
      <w:r w:rsidRPr="00E85F2F">
        <w:rPr>
          <w:rStyle w:val="ac"/>
          <w:rFonts w:ascii="Times New Roman" w:hAnsi="Times New Roman" w:cs="Times New Roman"/>
          <w:sz w:val="28"/>
          <w:szCs w:val="28"/>
        </w:rPr>
        <w:t>»</w:t>
      </w:r>
    </w:p>
    <w:p w14:paraId="0FCC75FD" w14:textId="47819D8B" w:rsidR="00B422A2" w:rsidRPr="00E85F2F" w:rsidRDefault="00B422A2" w:rsidP="00B422A2">
      <w:pPr>
        <w:spacing w:after="0" w:line="240" w:lineRule="auto"/>
        <w:jc w:val="right"/>
        <w:rPr>
          <w:rStyle w:val="ac"/>
          <w:rFonts w:ascii="Times New Roman" w:hAnsi="Times New Roman" w:cs="Times New Roman"/>
          <w:b w:val="0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sz w:val="28"/>
          <w:szCs w:val="28"/>
        </w:rPr>
        <w:t>Вялкова Н.В.</w:t>
      </w:r>
    </w:p>
    <w:p w14:paraId="20E86859" w14:textId="77777777" w:rsidR="00B422A2" w:rsidRPr="00B422A2" w:rsidRDefault="00B422A2" w:rsidP="00B422A2">
      <w:pPr>
        <w:spacing w:after="0" w:line="240" w:lineRule="auto"/>
        <w:jc w:val="right"/>
        <w:rPr>
          <w:rStyle w:val="ac"/>
          <w:rFonts w:ascii="Times New Roman" w:hAnsi="Times New Roman" w:cs="Times New Roman"/>
          <w:bCs w:val="0"/>
          <w:sz w:val="28"/>
          <w:szCs w:val="28"/>
        </w:rPr>
      </w:pPr>
    </w:p>
    <w:p w14:paraId="76440397" w14:textId="77777777" w:rsidR="002801A3" w:rsidRDefault="002801A3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72E446E6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7A0462F2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756984BE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3013624E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3FC7552A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6FB1CB2B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3A74CEB3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2DC64906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42496335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F6A3966" w14:textId="77777777" w:rsidR="00B422A2" w:rsidRDefault="00B422A2" w:rsidP="002801A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40881839" w14:textId="77777777" w:rsidR="00B422A2" w:rsidRPr="00E85F2F" w:rsidRDefault="00B422A2" w:rsidP="00B422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Pr="00E85F2F">
        <w:rPr>
          <w:rFonts w:ascii="Times New Roman" w:hAnsi="Times New Roman" w:cs="Times New Roman"/>
          <w:sz w:val="28"/>
          <w:szCs w:val="28"/>
        </w:rPr>
        <w:t xml:space="preserve"> Нижний Новгород</w:t>
      </w:r>
    </w:p>
    <w:p w14:paraId="401609F7" w14:textId="77777777" w:rsidR="00B422A2" w:rsidRPr="00E85F2F" w:rsidRDefault="00B422A2" w:rsidP="00B422A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85F2F">
        <w:rPr>
          <w:rFonts w:ascii="Times New Roman" w:hAnsi="Times New Roman" w:cs="Times New Roman"/>
          <w:sz w:val="28"/>
          <w:szCs w:val="28"/>
        </w:rPr>
        <w:t>202</w:t>
      </w:r>
      <w:r w:rsidRPr="00E85F2F">
        <w:rPr>
          <w:rFonts w:ascii="Times New Roman" w:eastAsia="Calibri" w:hAnsi="Times New Roman" w:cs="Times New Roman"/>
          <w:sz w:val="28"/>
          <w:szCs w:val="28"/>
        </w:rPr>
        <w:t>5</w:t>
      </w:r>
    </w:p>
    <w:p w14:paraId="7FD59A29" w14:textId="5AECC310" w:rsidR="00B422A2" w:rsidRPr="009B63CE" w:rsidRDefault="009B63CE" w:rsidP="00B422A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9B63CE">
        <w:rPr>
          <w:rFonts w:ascii="Times New Roman" w:eastAsia="Calibri" w:hAnsi="Times New Roman" w:cs="Times New Roman"/>
          <w:b/>
          <w:bCs/>
          <w:sz w:val="32"/>
          <w:szCs w:val="32"/>
        </w:rPr>
        <w:t>Актуальность темы</w:t>
      </w:r>
    </w:p>
    <w:p w14:paraId="1C6CA044" w14:textId="5FB84913" w:rsidR="009B63CE" w:rsidRDefault="009B63CE" w:rsidP="009B63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B63CE">
        <w:rPr>
          <w:rFonts w:ascii="Times New Roman" w:hAnsi="Times New Roman" w:cs="Times New Roman"/>
          <w:sz w:val="28"/>
          <w:szCs w:val="28"/>
        </w:rPr>
        <w:t>Освоение детьми раннего возраста сенсорных эталонов посредством дидактических игр остается важнейшей задачей дошкольной педагоги­ки и детской психологии. В раннем возрасте (1–3 года) формируются базовые сенсорные представления о цвете, форме, величине, массе, текстуре и звуке, которые служат опорой для последующего когнитивного, речевого и моторного развития. Исследования нейропсихологии подтверждают, что именно в первые годы жизни происходит активная пластичность сенсорных систем и закладываются устойчивые нейронные схемы восприятия; качественный сенсорный опыт в это время имеет долговременное влияние на познавательные функции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B63CE">
        <w:rPr>
          <w:rFonts w:ascii="Times New Roman" w:hAnsi="Times New Roman" w:cs="Times New Roman"/>
          <w:sz w:val="28"/>
          <w:szCs w:val="28"/>
        </w:rPr>
        <w:t>Дидактические игры являются наиболее эффективной формой организации сенсорной работы с детьми раннего возраста. Они обеспечивают естественную мотивацию, эмоционально окрашенный опыт и возможность поэтапного введения эталонов в игровой ситуации. Через игру ребёнок не только узнает признаки предметов, но и учится их сравнивать, классифицировать, называть — что непосредственно способствует обогащению словаря и развитию речи. Манипулятивные задания в играх способствуют совершенствованию мелкой моторики и координации, а совместные игровые ситуации развивают коммуникативные навыки и элементарные правила взаимодействия.</w:t>
      </w:r>
    </w:p>
    <w:p w14:paraId="1A572A2E" w14:textId="066BA9D2" w:rsidR="009B63CE" w:rsidRDefault="009B63CE" w:rsidP="009B63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B63CE">
        <w:rPr>
          <w:rFonts w:ascii="Times New Roman" w:hAnsi="Times New Roman" w:cs="Times New Roman"/>
          <w:sz w:val="28"/>
          <w:szCs w:val="28"/>
        </w:rPr>
        <w:t>При организации работы необходимо учитывать требования безопасности (исключение мелких или аллергенных материалов), санитарно‑гигиенические нормы и принцип индивидуализации. Эффективность программ по освоению сенсорных эталонов оценивается через наблюдения, результаты игровых заданий и динамику речевого и моторного развития детей.</w:t>
      </w:r>
    </w:p>
    <w:p w14:paraId="74297FCD" w14:textId="1CAB165C" w:rsidR="009B63CE" w:rsidRDefault="009B63CE" w:rsidP="009B63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B63CE">
        <w:rPr>
          <w:rFonts w:ascii="Times New Roman" w:hAnsi="Times New Roman" w:cs="Times New Roman"/>
          <w:sz w:val="28"/>
          <w:szCs w:val="28"/>
        </w:rPr>
        <w:t>Таким образом, актуальность темы обусловлена её фундаментальной ролью в становлении познавательных и практических навыков ребёнка, научной обоснованностью методов и высокой практической полезностью дидактических игр для комплексного развития детей раннего возраста.</w:t>
      </w:r>
    </w:p>
    <w:p w14:paraId="18BBACA3" w14:textId="2C297368" w:rsidR="00EF3FAA" w:rsidRDefault="009B63CE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EB336F6" w14:textId="4D387BD0" w:rsidR="00EF3FAA" w:rsidRPr="00EF3FAA" w:rsidRDefault="00EF3FAA" w:rsidP="00EF3FAA">
      <w:pPr>
        <w:spacing w:after="160" w:line="259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F3FAA">
        <w:rPr>
          <w:rFonts w:ascii="Times New Roman" w:hAnsi="Times New Roman" w:cs="Times New Roman"/>
          <w:b/>
          <w:bCs/>
          <w:sz w:val="32"/>
          <w:szCs w:val="32"/>
        </w:rPr>
        <w:t>Анализ собственного опыта работы</w:t>
      </w:r>
    </w:p>
    <w:p w14:paraId="47809D90" w14:textId="77777777" w:rsid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14F656F4" w14:textId="4C85C193" w:rsidR="004B0ACE" w:rsidRDefault="00EF3FAA" w:rsidP="00EF3FAA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F3FAA">
        <w:rPr>
          <w:rFonts w:ascii="Times New Roman" w:hAnsi="Times New Roman" w:cs="Times New Roman"/>
          <w:b/>
          <w:bCs/>
          <w:sz w:val="28"/>
          <w:szCs w:val="28"/>
        </w:rPr>
        <w:t>Цель</w:t>
      </w:r>
    </w:p>
    <w:p w14:paraId="3085EB92" w14:textId="4ADCD579" w:rsidR="009B63CE" w:rsidRPr="004B0ACE" w:rsidRDefault="00EF3FAA" w:rsidP="00EF3FAA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>Формирование у детей раннего возраста (1,5–3 лет) представлений о сенсорных эталонах (цвет, форма, величина, масса, текстура, звук) через систему дидактических игр, способствующих развитию восприятия, речи и моторики.</w:t>
      </w:r>
    </w:p>
    <w:p w14:paraId="4C9AE115" w14:textId="77777777" w:rsidR="00EF3FAA" w:rsidRPr="004B0ACE" w:rsidRDefault="00EF3FAA" w:rsidP="00EF3FAA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B0ACE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14:paraId="42F90237" w14:textId="0789CD6F" w:rsidR="00EF3FAA" w:rsidRP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>- Ознакомить детей с базовыми сенсорными эталонами в игровой форме.</w:t>
      </w:r>
    </w:p>
    <w:p w14:paraId="65D6D26B" w14:textId="77777777" w:rsidR="00EF3FAA" w:rsidRP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>- Развивать умение сравнивать, группировать и называть признаки предметов.</w:t>
      </w:r>
    </w:p>
    <w:p w14:paraId="7D5335EC" w14:textId="77777777" w:rsidR="00EF3FAA" w:rsidRP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>- Совершенствовать мелкую моторику и координацию движений через манипулятивные игры.</w:t>
      </w:r>
    </w:p>
    <w:p w14:paraId="7C48A3E1" w14:textId="77777777" w:rsidR="00EF3FAA" w:rsidRP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>- Поддерживать речевое развитие: введение целевого словаря и простых фраз.</w:t>
      </w:r>
    </w:p>
    <w:p w14:paraId="1047EA2B" w14:textId="09C3E667" w:rsid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>- Информировать и вовлечь родителей в простые игровые приёмы для домашней работы.</w:t>
      </w:r>
    </w:p>
    <w:p w14:paraId="3727366B" w14:textId="77777777" w:rsidR="00EF3FAA" w:rsidRPr="004B0ACE" w:rsidRDefault="00EF3FAA" w:rsidP="00EF3FAA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B0ACE">
        <w:rPr>
          <w:rFonts w:ascii="Times New Roman" w:hAnsi="Times New Roman" w:cs="Times New Roman"/>
          <w:b/>
          <w:bCs/>
          <w:sz w:val="28"/>
          <w:szCs w:val="28"/>
        </w:rPr>
        <w:t>Возрастная группа</w:t>
      </w:r>
    </w:p>
    <w:p w14:paraId="2D1E3227" w14:textId="0DD9C693" w:rsidR="00EF3FAA" w:rsidRDefault="00EF3FAA" w:rsidP="00EF3FA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EF3FAA">
        <w:rPr>
          <w:rFonts w:ascii="Times New Roman" w:hAnsi="Times New Roman" w:cs="Times New Roman"/>
          <w:sz w:val="28"/>
          <w:szCs w:val="28"/>
        </w:rPr>
        <w:t xml:space="preserve">Дети раннего возраста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F3FAA">
        <w:rPr>
          <w:rFonts w:ascii="Times New Roman" w:hAnsi="Times New Roman" w:cs="Times New Roman"/>
          <w:sz w:val="28"/>
          <w:szCs w:val="28"/>
        </w:rPr>
        <w:t xml:space="preserve">–3 года. Групповая численность </w:t>
      </w:r>
      <w:r>
        <w:rPr>
          <w:rFonts w:ascii="Times New Roman" w:hAnsi="Times New Roman" w:cs="Times New Roman"/>
          <w:sz w:val="28"/>
          <w:szCs w:val="28"/>
        </w:rPr>
        <w:t>12-15</w:t>
      </w:r>
      <w:r w:rsidRPr="00EF3FAA">
        <w:rPr>
          <w:rFonts w:ascii="Times New Roman" w:hAnsi="Times New Roman" w:cs="Times New Roman"/>
          <w:sz w:val="28"/>
          <w:szCs w:val="28"/>
        </w:rPr>
        <w:t xml:space="preserve"> детей с возможностью индивидуализации заданий.</w:t>
      </w:r>
    </w:p>
    <w:p w14:paraId="1CEF0487" w14:textId="77777777" w:rsidR="004B0ACE" w:rsidRPr="004B0ACE" w:rsidRDefault="004B0ACE" w:rsidP="004B0ACE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B0ACE">
        <w:rPr>
          <w:rFonts w:ascii="Times New Roman" w:hAnsi="Times New Roman" w:cs="Times New Roman"/>
          <w:b/>
          <w:bCs/>
          <w:sz w:val="28"/>
          <w:szCs w:val="28"/>
        </w:rPr>
        <w:t>Методология и принципы</w:t>
      </w:r>
    </w:p>
    <w:p w14:paraId="188D728E" w14:textId="77777777" w:rsidR="004B0ACE" w:rsidRPr="004B0ACE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B0ACE">
        <w:rPr>
          <w:rFonts w:ascii="Times New Roman" w:hAnsi="Times New Roman" w:cs="Times New Roman"/>
          <w:sz w:val="28"/>
          <w:szCs w:val="28"/>
        </w:rPr>
        <w:t>- Игровая деятельность как ведущая форма обучения.</w:t>
      </w:r>
    </w:p>
    <w:p w14:paraId="05707E51" w14:textId="77777777" w:rsidR="004B0ACE" w:rsidRPr="004B0ACE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B0ACE">
        <w:rPr>
          <w:rFonts w:ascii="Times New Roman" w:hAnsi="Times New Roman" w:cs="Times New Roman"/>
          <w:sz w:val="28"/>
          <w:szCs w:val="28"/>
        </w:rPr>
        <w:t>- Наглядность и постепенно усложняющийся материал.</w:t>
      </w:r>
    </w:p>
    <w:p w14:paraId="3BD144C0" w14:textId="66475B02" w:rsidR="004B0ACE" w:rsidRPr="004B0ACE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B0ACE">
        <w:rPr>
          <w:rFonts w:ascii="Times New Roman" w:hAnsi="Times New Roman" w:cs="Times New Roman"/>
          <w:sz w:val="28"/>
          <w:szCs w:val="28"/>
        </w:rPr>
        <w:t>- Индивидуализация и дифференциация по уровню развития.</w:t>
      </w:r>
    </w:p>
    <w:p w14:paraId="77521B96" w14:textId="77777777" w:rsidR="004B0ACE" w:rsidRPr="004B0ACE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B0ACE">
        <w:rPr>
          <w:rFonts w:ascii="Times New Roman" w:hAnsi="Times New Roman" w:cs="Times New Roman"/>
          <w:sz w:val="28"/>
          <w:szCs w:val="28"/>
        </w:rPr>
        <w:t>- Системность: от простого к сложному, повторение и закрепление.</w:t>
      </w:r>
    </w:p>
    <w:p w14:paraId="23F9493F" w14:textId="77777777" w:rsidR="004B0ACE" w:rsidRPr="004B0ACE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B0ACE">
        <w:rPr>
          <w:rFonts w:ascii="Times New Roman" w:hAnsi="Times New Roman" w:cs="Times New Roman"/>
          <w:sz w:val="28"/>
          <w:szCs w:val="28"/>
        </w:rPr>
        <w:t>- Безопасность материалов и санитарно‑гигиенические нормы.</w:t>
      </w:r>
    </w:p>
    <w:p w14:paraId="7D7629B8" w14:textId="2D7BC430" w:rsidR="00EF3FAA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B0ACE">
        <w:rPr>
          <w:rFonts w:ascii="Times New Roman" w:hAnsi="Times New Roman" w:cs="Times New Roman"/>
          <w:sz w:val="28"/>
          <w:szCs w:val="28"/>
        </w:rPr>
        <w:t>- Вовлечение семьи: рекомендации для домашних игр.</w:t>
      </w:r>
    </w:p>
    <w:p w14:paraId="55ED0F00" w14:textId="77777777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>- Сроки реализации 1 год</w:t>
      </w:r>
    </w:p>
    <w:p w14:paraId="0265675E" w14:textId="21660382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Продолжительность проекта 12 месяцев (4 квартала).  </w:t>
      </w:r>
    </w:p>
    <w:p w14:paraId="073B3800" w14:textId="61C40AD8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Занятия 2 раза в неделю по 20–25 минут (≈160 занятий в год).  </w:t>
      </w:r>
    </w:p>
    <w:p w14:paraId="05E009FC" w14:textId="262C4E7A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Ежедневные короткие игровые включения в режимные моменты.  </w:t>
      </w:r>
    </w:p>
    <w:p w14:paraId="449783C7" w14:textId="6FA909CC" w:rsidR="004B0ACE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Контрольные диагностические сессии: в начале проекта, в конце каждого квартала и итоговая — в конце года.</w:t>
      </w:r>
    </w:p>
    <w:p w14:paraId="18C4B036" w14:textId="75D7351D" w:rsidR="00610FD3" w:rsidRDefault="00610FD3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>Структура по кварталам</w:t>
      </w:r>
    </w:p>
    <w:p w14:paraId="432D657A" w14:textId="77777777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 xml:space="preserve">  1й квартал (недели 1–12)</w:t>
      </w:r>
    </w:p>
    <w:p w14:paraId="3F9ABF27" w14:textId="1B4A1F9D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Вводная неделя: диагностка исходного уровня, знакомство с материалами.  </w:t>
      </w:r>
    </w:p>
    <w:p w14:paraId="2EA42019" w14:textId="1E2905B4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Модуль Цвет (3–4 недели): различие 3–4 базовых цветов, сортировка, речевой ввод.  </w:t>
      </w:r>
    </w:p>
    <w:p w14:paraId="69702C42" w14:textId="12CB285C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Модуль Форма (3–4 недели): круг, квадрат, треугольник; вкладыши, сортеры.  </w:t>
      </w:r>
    </w:p>
    <w:p w14:paraId="773AF26C" w14:textId="7A2C471C" w:rsid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Итоговая мини‑диагностика квартала</w:t>
      </w:r>
    </w:p>
    <w:p w14:paraId="7B603B62" w14:textId="77777777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>2й квартал (недели 13–24)</w:t>
      </w:r>
    </w:p>
    <w:p w14:paraId="35D3288C" w14:textId="11C496C5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Модуль Величина и масса (4 недели): больше/меньше, тяжёлый/лёгкий, простые весы.  </w:t>
      </w:r>
    </w:p>
    <w:p w14:paraId="00C745C6" w14:textId="4FA41020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Модуль Текстура (4 недели): гладкий/шероховатый, мягкий/твёрдый, сенсорные мешочки.  </w:t>
      </w:r>
    </w:p>
    <w:p w14:paraId="77CC7845" w14:textId="24B7BE26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Интегрированные игры на закрепление (2–4 недели).  </w:t>
      </w:r>
    </w:p>
    <w:p w14:paraId="5EF9C5F1" w14:textId="6BFA9C0C" w:rsid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Квартальная диагностика.</w:t>
      </w:r>
    </w:p>
    <w:p w14:paraId="5674CABE" w14:textId="77777777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>3й квартал (недели 25–36)</w:t>
      </w:r>
    </w:p>
    <w:p w14:paraId="5992D12F" w14:textId="4F682457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Модуль Звук (3–4 недели): громко/тихо, тембр, угадай звук.  </w:t>
      </w:r>
    </w:p>
    <w:p w14:paraId="706FE312" w14:textId="625EC448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Повторение и углубление всех эталонов (6–8 недель): комбинированные задания, усложнение игр.  </w:t>
      </w:r>
    </w:p>
    <w:p w14:paraId="0F671211" w14:textId="68C5CD61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Коррекционная индивидуальная работа по необходимости.  </w:t>
      </w:r>
    </w:p>
    <w:p w14:paraId="46BF1EF4" w14:textId="44785022" w:rsid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Квартальная диагностика.</w:t>
      </w:r>
    </w:p>
    <w:p w14:paraId="149BEC83" w14:textId="77777777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>4й квартал (недели 37–48)</w:t>
      </w:r>
    </w:p>
    <w:p w14:paraId="3CCD12F0" w14:textId="62142C10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Проектно‑тематические недели (6–8 недель): интеграция сенсорных эталонов в тематические игры (путешествия, сказки).  </w:t>
      </w:r>
    </w:p>
    <w:p w14:paraId="225C679E" w14:textId="707E4341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Родительские включения и мастер‑классы (2–3 встречи): обучение домашним упражнениям.  </w:t>
      </w:r>
    </w:p>
    <w:p w14:paraId="677AE620" w14:textId="5A30466F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Итоговая диагностика и подведение результатов, рекомендации для дальнейшей работы.</w:t>
      </w:r>
    </w:p>
    <w:p w14:paraId="511CDD56" w14:textId="77777777" w:rsidR="004B0ACE" w:rsidRDefault="004B0ACE" w:rsidP="004B0AC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7621850C" w14:textId="10AF20F8" w:rsidR="00610FD3" w:rsidRPr="00610FD3" w:rsidRDefault="00610FD3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10FD3">
        <w:rPr>
          <w:rFonts w:ascii="Times New Roman" w:hAnsi="Times New Roman" w:cs="Times New Roman"/>
          <w:b/>
          <w:bCs/>
          <w:sz w:val="28"/>
          <w:szCs w:val="28"/>
        </w:rPr>
        <w:t>Диагностика и критерии оценки</w:t>
      </w:r>
    </w:p>
    <w:p w14:paraId="7EFA18FD" w14:textId="79DDA0C3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 w:rsidR="004D7348"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Входная, квартальные и итоговая диагностические сессии.  </w:t>
      </w:r>
    </w:p>
    <w:p w14:paraId="5B9D9706" w14:textId="6B993131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 w:rsidR="004D7348"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Методы: наблюдение, игровые тесты (подбор по цвету/форме, сравнение по величине/массе, распознавание текстур и звуков).  </w:t>
      </w:r>
    </w:p>
    <w:p w14:paraId="47B7976C" w14:textId="188299DF" w:rsidR="00610FD3" w:rsidRP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 w:rsidR="004D7348"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Критерии успешности: различение и называние основных эталонов, выполнение простых сравнений и классификаций, положительная динамика речи и моторики, участие в играх.  </w:t>
      </w:r>
    </w:p>
    <w:p w14:paraId="2DF21CCE" w14:textId="250A061E" w:rsidR="00610FD3" w:rsidRDefault="00610FD3" w:rsidP="00610FD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610FD3">
        <w:rPr>
          <w:rFonts w:ascii="Times New Roman" w:hAnsi="Times New Roman" w:cs="Times New Roman"/>
          <w:sz w:val="28"/>
          <w:szCs w:val="28"/>
        </w:rPr>
        <w:t xml:space="preserve">  </w:t>
      </w:r>
      <w:r w:rsidR="004D7348">
        <w:rPr>
          <w:rFonts w:ascii="Times New Roman" w:hAnsi="Times New Roman" w:cs="Times New Roman"/>
          <w:sz w:val="28"/>
          <w:szCs w:val="28"/>
        </w:rPr>
        <w:t>-</w:t>
      </w:r>
      <w:r w:rsidRPr="00610FD3">
        <w:rPr>
          <w:rFonts w:ascii="Times New Roman" w:hAnsi="Times New Roman" w:cs="Times New Roman"/>
          <w:sz w:val="28"/>
          <w:szCs w:val="28"/>
        </w:rPr>
        <w:t xml:space="preserve"> Отчётность: квартальные отчёты с рекомендациями для педагогов и родителей.</w:t>
      </w:r>
    </w:p>
    <w:p w14:paraId="1B4C25FE" w14:textId="5144B892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7348">
        <w:rPr>
          <w:rFonts w:ascii="Times New Roman" w:hAnsi="Times New Roman" w:cs="Times New Roman"/>
          <w:b/>
          <w:bCs/>
          <w:sz w:val="28"/>
          <w:szCs w:val="28"/>
        </w:rPr>
        <w:t>Ресурсы и безопасность</w:t>
      </w:r>
    </w:p>
    <w:p w14:paraId="535A3965" w14:textId="0B26C854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Материалы: сенсорные мешочки, кубики, шарики, весы, шумовые предметы, панно, сортеры.  </w:t>
      </w:r>
    </w:p>
    <w:p w14:paraId="4758B367" w14:textId="738798A3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Требования: безопасность, нетоксичность, соответствие санитарным нормам.  </w:t>
      </w:r>
    </w:p>
    <w:p w14:paraId="754C3AF0" w14:textId="3D24BBF8" w:rsid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Подготовка педагогов: методические инструкции, краткие тренинги перед стартом и по итогам кварталов.</w:t>
      </w:r>
    </w:p>
    <w:p w14:paraId="7DB3C564" w14:textId="0082F14B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7348">
        <w:rPr>
          <w:rFonts w:ascii="Times New Roman" w:hAnsi="Times New Roman" w:cs="Times New Roman"/>
          <w:b/>
          <w:bCs/>
          <w:sz w:val="28"/>
          <w:szCs w:val="28"/>
        </w:rPr>
        <w:t>Вовлечение родителей</w:t>
      </w:r>
    </w:p>
    <w:p w14:paraId="74A87F98" w14:textId="5E4E502F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Еженедельные короткие рекомендации для домашних игр.  </w:t>
      </w:r>
    </w:p>
    <w:p w14:paraId="7F33CFBE" w14:textId="2874412A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Квартальные мастер‑классы и консультации.  </w:t>
      </w:r>
    </w:p>
    <w:p w14:paraId="7289E5EA" w14:textId="6125E02A" w:rsidR="004B0ACE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Сбор обратной связи и наблюдений родителей для коррекции работы.</w:t>
      </w:r>
    </w:p>
    <w:p w14:paraId="4F4173F0" w14:textId="7A71EFDF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7348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</w:t>
      </w:r>
    </w:p>
    <w:p w14:paraId="1D099794" w14:textId="20C47206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D7348">
        <w:rPr>
          <w:rFonts w:ascii="Times New Roman" w:hAnsi="Times New Roman" w:cs="Times New Roman"/>
          <w:sz w:val="28"/>
          <w:szCs w:val="28"/>
        </w:rPr>
        <w:t xml:space="preserve">Сравнение входной и итоговой диагностики.  </w:t>
      </w:r>
    </w:p>
    <w:p w14:paraId="1408D6FE" w14:textId="44F78CE9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Анализ динамики по речевым и моторным навыкам.  </w:t>
      </w:r>
    </w:p>
    <w:p w14:paraId="74AE6592" w14:textId="6D78DBAB" w:rsid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D7348">
        <w:rPr>
          <w:rFonts w:ascii="Times New Roman" w:hAnsi="Times New Roman" w:cs="Times New Roman"/>
          <w:sz w:val="28"/>
          <w:szCs w:val="28"/>
        </w:rPr>
        <w:t xml:space="preserve"> Корректировка программы по результатам квартальных оценок.</w:t>
      </w:r>
    </w:p>
    <w:p w14:paraId="27359948" w14:textId="77777777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7348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4E463998" w14:textId="77777777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>- Дети научатся различать и называть базовые сенсорные эталоны.</w:t>
      </w:r>
    </w:p>
    <w:p w14:paraId="771C5F45" w14:textId="77777777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>- Повысится уровень продукции речи (словарный запас), улучшится координация и мелкая моторика.</w:t>
      </w:r>
    </w:p>
    <w:p w14:paraId="167FDF38" w14:textId="77777777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>- Родители получат навыки проведения простых сенсорных игр дома.</w:t>
      </w:r>
    </w:p>
    <w:p w14:paraId="42F37D40" w14:textId="42A31247" w:rsidR="004D7348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>- Снижение количества трудностей при освоении последующих учебных программ.</w:t>
      </w:r>
    </w:p>
    <w:p w14:paraId="1E540F05" w14:textId="77777777" w:rsidR="004D7348" w:rsidRPr="004D7348" w:rsidRDefault="004D7348" w:rsidP="004D7348">
      <w:p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7348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344A5018" w14:textId="19D0FE46" w:rsidR="004B0ACE" w:rsidRPr="004B0ACE" w:rsidRDefault="004D7348" w:rsidP="004D734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D7348">
        <w:rPr>
          <w:rFonts w:ascii="Times New Roman" w:hAnsi="Times New Roman" w:cs="Times New Roman"/>
          <w:sz w:val="28"/>
          <w:szCs w:val="28"/>
        </w:rPr>
        <w:t>Проект представляет собой практическую и доступную систему работы по освоению сенсорных эталонов у детей раннего возраста через дидактические игры. Систематическое применение предложенных приёмов способствует гармоничному развитию восприятия, речи и моторики, повышает подготовленность к дальнейшему обучению и вовлекает семью в образовательный процесс.</w:t>
      </w:r>
    </w:p>
    <w:sectPr w:rsidR="004B0ACE" w:rsidRPr="004B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A3"/>
    <w:rsid w:val="001B607F"/>
    <w:rsid w:val="002801A3"/>
    <w:rsid w:val="004B0ACE"/>
    <w:rsid w:val="004D7348"/>
    <w:rsid w:val="00610FD3"/>
    <w:rsid w:val="00757774"/>
    <w:rsid w:val="00816124"/>
    <w:rsid w:val="00921C94"/>
    <w:rsid w:val="009B63CE"/>
    <w:rsid w:val="00B422A2"/>
    <w:rsid w:val="00B56D1B"/>
    <w:rsid w:val="00C72765"/>
    <w:rsid w:val="00EF3FAA"/>
    <w:rsid w:val="00F2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F069E"/>
  <w15:chartTrackingRefBased/>
  <w15:docId w15:val="{C5D39AD3-F21B-41F6-93CD-514C6BDA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01A3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801A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01A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01A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01A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01A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01A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01A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01A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01A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0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0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0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01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01A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01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01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01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01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0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80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01A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80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01A3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801A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01A3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2801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0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801A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801A3"/>
    <w:rPr>
      <w:b/>
      <w:bCs/>
      <w:smallCaps/>
      <w:color w:val="2F5496" w:themeColor="accent1" w:themeShade="BF"/>
      <w:spacing w:val="5"/>
    </w:rPr>
  </w:style>
  <w:style w:type="character" w:styleId="ac">
    <w:name w:val="Strong"/>
    <w:qFormat/>
    <w:rsid w:val="002801A3"/>
    <w:rPr>
      <w:b/>
      <w:bCs/>
    </w:rPr>
  </w:style>
  <w:style w:type="paragraph" w:styleId="ad">
    <w:name w:val="Normal (Web)"/>
    <w:basedOn w:val="a"/>
    <w:uiPriority w:val="99"/>
    <w:semiHidden/>
    <w:unhideWhenUsed/>
    <w:rsid w:val="00280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donikandkerik@gmail.com</dc:creator>
  <cp:keywords/>
  <dc:description/>
  <cp:lastModifiedBy>Гость</cp:lastModifiedBy>
  <cp:revision>2</cp:revision>
  <dcterms:created xsi:type="dcterms:W3CDTF">2025-10-20T20:25:00Z</dcterms:created>
  <dcterms:modified xsi:type="dcterms:W3CDTF">2025-10-20T20:25:00Z</dcterms:modified>
</cp:coreProperties>
</file>