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1469D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МОУ «Начальная школа п.Дубовое» Белгородского района Белгородской области</w:t>
      </w:r>
    </w:p>
    <w:p w14:paraId="0B3DD406">
      <w:pPr>
        <w:jc w:val="center"/>
        <w:rPr>
          <w:rFonts w:hint="default" w:ascii="Times New Roman" w:hAnsi="Times New Roman" w:cs="Times New Roman"/>
          <w:lang w:val="ru-RU"/>
        </w:rPr>
      </w:pPr>
    </w:p>
    <w:p w14:paraId="54F40CEC">
      <w:pPr>
        <w:jc w:val="center"/>
        <w:rPr>
          <w:rFonts w:hint="default" w:ascii="Times New Roman" w:hAnsi="Times New Roman" w:cs="Times New Roman"/>
          <w:lang w:val="ru-RU"/>
        </w:rPr>
      </w:pPr>
    </w:p>
    <w:p w14:paraId="7B6FA119">
      <w:pPr>
        <w:jc w:val="center"/>
        <w:rPr>
          <w:rFonts w:hint="default" w:ascii="Times New Roman" w:hAnsi="Times New Roman" w:cs="Times New Roman"/>
          <w:lang w:val="ru-RU"/>
        </w:rPr>
      </w:pPr>
    </w:p>
    <w:p w14:paraId="548931AD">
      <w:pPr>
        <w:jc w:val="center"/>
        <w:rPr>
          <w:rFonts w:hint="default" w:ascii="Times New Roman" w:hAnsi="Times New Roman" w:cs="Times New Roman"/>
          <w:lang w:val="ru-RU"/>
        </w:rPr>
      </w:pPr>
    </w:p>
    <w:p w14:paraId="0D35BDAB">
      <w:pPr>
        <w:jc w:val="center"/>
        <w:rPr>
          <w:rFonts w:hint="default" w:ascii="Times New Roman" w:hAnsi="Times New Roman" w:cs="Times New Roman"/>
          <w:lang w:val="ru-RU"/>
        </w:rPr>
      </w:pPr>
    </w:p>
    <w:p w14:paraId="58F510DE">
      <w:pPr>
        <w:jc w:val="center"/>
        <w:rPr>
          <w:rFonts w:hint="default" w:ascii="Times New Roman" w:hAnsi="Times New Roman" w:cs="Times New Roman"/>
          <w:lang w:val="ru-RU"/>
        </w:rPr>
      </w:pPr>
    </w:p>
    <w:p w14:paraId="2D869D1B">
      <w:pPr>
        <w:jc w:val="center"/>
        <w:rPr>
          <w:rFonts w:hint="default" w:ascii="Times New Roman" w:hAnsi="Times New Roman" w:cs="Times New Roman"/>
          <w:lang w:val="ru-RU"/>
        </w:rPr>
      </w:pPr>
    </w:p>
    <w:p w14:paraId="2E78C2A8">
      <w:pPr>
        <w:jc w:val="center"/>
        <w:rPr>
          <w:rFonts w:hint="default" w:ascii="Times New Roman" w:hAnsi="Times New Roman" w:cs="Times New Roman"/>
          <w:lang w:val="ru-RU"/>
        </w:rPr>
      </w:pPr>
    </w:p>
    <w:p w14:paraId="5264356F">
      <w:pPr>
        <w:jc w:val="center"/>
        <w:rPr>
          <w:rFonts w:hint="default" w:ascii="Times New Roman" w:hAnsi="Times New Roman" w:cs="Times New Roman"/>
          <w:lang w:val="ru-RU"/>
        </w:rPr>
      </w:pPr>
    </w:p>
    <w:p w14:paraId="57322BE4">
      <w:pPr>
        <w:jc w:val="center"/>
        <w:rPr>
          <w:rFonts w:hint="default" w:ascii="Times New Roman" w:hAnsi="Times New Roman" w:cs="Times New Roman"/>
          <w:lang w:val="ru-RU"/>
        </w:rPr>
      </w:pPr>
    </w:p>
    <w:p w14:paraId="4F954D3C">
      <w:pPr>
        <w:jc w:val="center"/>
        <w:rPr>
          <w:rFonts w:hint="default" w:ascii="Times New Roman" w:hAnsi="Times New Roman" w:cs="Times New Roman"/>
          <w:lang w:val="ru-RU"/>
        </w:rPr>
      </w:pPr>
    </w:p>
    <w:p w14:paraId="66F4C4E1">
      <w:pPr>
        <w:jc w:val="center"/>
        <w:rPr>
          <w:rFonts w:hint="default" w:ascii="Times New Roman" w:hAnsi="Times New Roman" w:cs="Times New Roman"/>
          <w:lang w:val="ru-RU"/>
        </w:rPr>
      </w:pPr>
    </w:p>
    <w:p w14:paraId="240DF00D">
      <w:pPr>
        <w:jc w:val="center"/>
        <w:rPr>
          <w:rFonts w:hint="default" w:ascii="Times New Roman" w:hAnsi="Times New Roman" w:cs="Times New Roman"/>
          <w:lang w:val="ru-RU"/>
        </w:rPr>
      </w:pPr>
    </w:p>
    <w:p w14:paraId="134CC707">
      <w:pPr>
        <w:jc w:val="center"/>
        <w:rPr>
          <w:rFonts w:hint="default" w:ascii="Times New Roman" w:hAnsi="Times New Roman" w:cs="Times New Roman"/>
          <w:lang w:val="ru-RU"/>
        </w:rPr>
      </w:pPr>
    </w:p>
    <w:p w14:paraId="525ADDA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0CFFF8D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ИКТ-компетентность педагога</w:t>
      </w:r>
    </w:p>
    <w:p w14:paraId="7BDA7355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74595F14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39186CFD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25D11E91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5D397897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279F9962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5D70258A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2E23DB61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750F1399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37AAF4C4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341DE49B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0E58FC43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6FB3BA70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6112B3A4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F27448C">
      <w:pPr>
        <w:jc w:val="center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3A780580">
      <w:pPr>
        <w:jc w:val="right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C258855">
      <w:pPr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64C9ADA">
      <w:pPr>
        <w:wordWrap w:val="0"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Автор: Пирогова А.А.</w:t>
      </w:r>
    </w:p>
    <w:p w14:paraId="13F6801A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41CC7BE5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3FBC8567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261D34F8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08F6B8D0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4B00F7D7">
      <w:pPr>
        <w:wordWrap/>
        <w:jc w:val="right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7E0AAC3E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54A6925A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3B4D8115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79F0275F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354CE9DD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30090433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50772AB8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2420CAC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1B5F60FA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0FBAF497">
      <w:pPr>
        <w:wordWrap/>
        <w:jc w:val="center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П.Дубовое, 2025</w:t>
      </w:r>
    </w:p>
    <w:p w14:paraId="41E989D6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 современном мире, где технологии пронизывают все сферы жизни, роль педагога претерпевает значительные изменения. Учитель больше не является единственным источником знаний, а становится навигатором в огромном потоке информации, тьютором, помогающим ученикам ориентироваться и эффективно использовать доступные ресурсы. В этом контексте информационно-коммуникационная компетентность (ИКТ-компетентность) педагога приобретает первостепенное значение.</w:t>
      </w:r>
    </w:p>
    <w:p w14:paraId="19190959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784BF783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Что такое ИКТ-компетентность педагога? ИКТ-компетентность педагога – это не просто умение пользоваться компьютером и интернетом. Это комплекс знаний, умений и навыков, позволяющих эффективно использовать информационно-коммуникационные технологии в образовательном процессе для достижения поставленных педагогических целей. Она включает в себя:</w:t>
      </w:r>
    </w:p>
    <w:p w14:paraId="4CD9DBBF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Знание:</w:t>
      </w:r>
    </w:p>
    <w:p w14:paraId="094456BB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Основы работы с аппаратным и программным обеспечением.</w:t>
      </w:r>
    </w:p>
    <w:p w14:paraId="5A6C4751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Принципы поиска, анализа и оценки информации в сети Интернет.</w:t>
      </w:r>
    </w:p>
    <w:p w14:paraId="42F1E750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Методические основы использования ИКТ в образовании.</w:t>
      </w:r>
    </w:p>
    <w:p w14:paraId="4AC42D3D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Нормативно-правовые аспекты использования ИКТ в образовании (авторское право, защита персональных данных и т.д.).</w:t>
      </w:r>
    </w:p>
    <w:p w14:paraId="2F53D3FA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Возможности различных образовательных платформ и онлайн-сервисов.</w:t>
      </w:r>
    </w:p>
    <w:p w14:paraId="6D52E575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Умения:</w:t>
      </w:r>
    </w:p>
    <w:p w14:paraId="1DDB7219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Использовать различные программные средства для создания учебных материалов (текстовые редакторы, презентации, графические редакторы, видеоредакторы и т.д.).</w:t>
      </w:r>
    </w:p>
    <w:p w14:paraId="10DF4935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Организовывать и проводить онлайн-уроки, вебинары, конференции.</w:t>
      </w:r>
    </w:p>
    <w:p w14:paraId="380E4561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Использовать интерактивные доски и другие интерактивные инструменты.</w:t>
      </w:r>
    </w:p>
    <w:p w14:paraId="2E618738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Создавать и использовать электронные образовательные ресурсы (ЭОР).</w:t>
      </w:r>
    </w:p>
    <w:p w14:paraId="5F8CB22A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Организовывать дистанционное обучение.</w:t>
      </w:r>
    </w:p>
    <w:p w14:paraId="32E59F66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Оценивать знания и умения учащихся с помощью ИКТ.</w:t>
      </w:r>
    </w:p>
    <w:p w14:paraId="704252E0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Обеспечивать информационную безопасность учащихся.</w:t>
      </w:r>
    </w:p>
    <w:p w14:paraId="47AF7695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Навыки:</w:t>
      </w:r>
    </w:p>
    <w:p w14:paraId="63E97C15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Быстро и эффективно находить необходимую информацию в сети Интернет.</w:t>
      </w:r>
    </w:p>
    <w:p w14:paraId="59E3FF64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Критически оценивать найденную информацию.</w:t>
      </w:r>
    </w:p>
    <w:p w14:paraId="275B9217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Адаптировать учебные материалы к различным форматам и платформам.</w:t>
      </w:r>
    </w:p>
    <w:p w14:paraId="3F23896C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Эффективно взаимодействовать с учащимися и коллегами в онлайн-среде.</w:t>
      </w:r>
    </w:p>
    <w:p w14:paraId="5E808BB8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Постоянно совершенствовать свои ИКТ-навыки.</w:t>
      </w:r>
    </w:p>
    <w:p w14:paraId="242FA1F7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7D066D6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Почему ИКТ-компетентность важна для современного педагога? В современном образовании ИКТ-компетентность педагога играет ключевую роль по нескольким причинам:</w:t>
      </w:r>
    </w:p>
    <w:p w14:paraId="402BEA31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Повышение эффективности обучения: ИКТ позволяют сделать обучение более интерактивным, наглядным и увлекательным. Использование мультимедийных материалов, онлайн-симуляторов, виртуальных экскурсий и других интерактивных инструментов позволяет вовлечь учащихся в активный процесс обучения и повысить их мотивацию.</w:t>
      </w:r>
    </w:p>
    <w:p w14:paraId="332160EB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Индивидуализация обучения: ИКТ позволяют адаптировать учебный процесс к индивидуальным потребностям и возможностям каждого ученика. С помощью онлайн-платформ и электронных образовательных ресурсов можно создавать индивидуальные траектории обучения, предлагать учащимся задания разного уровня сложности и предоставлять им персонализированную обратную связь.</w:t>
      </w:r>
    </w:p>
    <w:p w14:paraId="3D367213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Развитие критического мышления и информационной грамотности: В современном мире учащиеся должны уметь критически оценивать информацию, находить достоверные источники и эффективно использовать полученные знания. ИКТ позволяют педагогу развивать эти навыки у учащихся, обучая их поиску, анализу и оценке информации в сети Интернет.</w:t>
      </w:r>
    </w:p>
    <w:p w14:paraId="4C5E6696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Подготовка к жизни в цифровом обществе: Современные выпускники школ должны быть готовы к жизни и работе в цифровом обществе. ИКТ-компетентность педагога позволяет ему подготовить учащихся к использованию технологий в различных сферах жизни, от работы и учебы до общения и развлечений.</w:t>
      </w:r>
    </w:p>
    <w:p w14:paraId="20346E98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Оптимизация работы педагога: ИКТ позволяют автоматизировать многие рутинные задачи, такие как проверка домашних заданий, создание отчетов и планирование уроков. Это освобождает время педагога для более важной работы, такой как индивидуальная работа с учащимися и разработка новых учебных материалов.</w:t>
      </w:r>
    </w:p>
    <w:p w14:paraId="35BDA2DC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Расширение возможностей профессионального развития: ИКТ позволяют педагогам обмениваться опытом с коллегами, участвовать в онлайн-курсах и вебинарах, а также получать доступ к новейшим исследованиям и разработкам в области образования.</w:t>
      </w:r>
    </w:p>
    <w:p w14:paraId="25EACEE5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1C4ED7A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Как развивать ИКТ-компетентность педагога? Развитие ИКТ-компетентности педагога – это непрерывный процесс, требующий постоянного обучения и самосовершенствования. Существует множество способов развития ИКТ-компетентности, в том числе:</w:t>
      </w:r>
    </w:p>
    <w:p w14:paraId="109C4BFC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Повышение квалификации: Участие в курсах повышения квалификации, семинарах и вебинарах, посвященных использованию ИКТ в образовании.</w:t>
      </w:r>
    </w:p>
    <w:p w14:paraId="2ACCF5E3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Самообразование: Изучение специализированной литературы, онлайн-курсов и ресурсов, посвященных ИКТ.</w:t>
      </w:r>
    </w:p>
    <w:p w14:paraId="786A3C53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Обмен опытом с коллегами: Участие в профессиональных сообществах, форумах и конференциях, где можно обмениваться опытом с другими педагогами.</w:t>
      </w:r>
    </w:p>
    <w:p w14:paraId="1867AAF1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Практическое применение ИКТ в образовательном процессе: Экспериментирование с различными ИКТ-инструментами и технологиями в своей работе.</w:t>
      </w:r>
    </w:p>
    <w:p w14:paraId="5921FA07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Использование онлайн-платформ и ресурсов: Использование образовательных платформ, онлайн-сервисов и других ресурсов для создания учебных материалов и организации учебного процесса.</w:t>
      </w:r>
    </w:p>
    <w:p w14:paraId="03842E55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Создание собственных электронных образовательных ресурсов (ЭОР): Разработка интерактивных уроков, тестов, презентаций и других ЭОР.</w:t>
      </w:r>
    </w:p>
    <w:p w14:paraId="74E3FD92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Участие в проектах, связанных с использованием ИКТ в образовании: Участие в инновационных проектах, направленных на внедрение ИКТ в образовательный процесс.</w:t>
      </w:r>
    </w:p>
    <w:p w14:paraId="2CDC52EB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Рефлексия и анализ своей деятельности: Оценка эффективности использования ИКТ в своей работе и выявление областей для улучшения.</w:t>
      </w:r>
    </w:p>
    <w:p w14:paraId="740A3570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30F01D43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Вызовы и перспективы развития ИКТ-компетентности педагога</w:t>
      </w:r>
    </w:p>
    <w:p w14:paraId="4882B1F7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25C0F7AE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Несмотря на значительный прогресс в развитии ИКТ-компетентности педагогов, существуют определенные вызовы и перспективы:</w:t>
      </w:r>
    </w:p>
    <w:p w14:paraId="4A95493D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Неравномерность доступа к технологиям: Не все школы и педагоги имеют одинаковый доступ к современным технологиям и оборудованию. Необходимо обеспечить равные возможности для всех педагогов в развитии их ИКТ-компетентности.</w:t>
      </w:r>
    </w:p>
    <w:p w14:paraId="138C6B8B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Недостаточная методическая поддержка: Не всегда педагоги получают достаточную методическую поддержку в использовании ИКТ в образовательном процессе. Необходимо разработать и внедрить эффективные методические рекомендации и пособия.</w:t>
      </w:r>
    </w:p>
    <w:p w14:paraId="42BCFB7E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Необходимость постоянного обновления знаний и навыков: Технологии быстро развиваются, поэтому педагогам необходимо постоянно обновлять свои знания и навыки. Необходимо создать систему непрерывного профессионального развития педагогов в области ИКТ.</w:t>
      </w:r>
    </w:p>
    <w:p w14:paraId="29549014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Интеграция ИКТ в учебный процесс: Важно не просто использовать ИКТ ради ИКТ, а интегрировать их в учебный процесс таким образом, чтобы они способствовали достижению поставленных педагогических целей.</w:t>
      </w:r>
    </w:p>
    <w:p w14:paraId="2BE756B7">
      <w:pPr>
        <w:numPr>
          <w:ilvl w:val="0"/>
          <w:numId w:val="1"/>
        </w:numPr>
        <w:wordWrap/>
        <w:ind w:left="420" w:leftChars="0" w:hanging="42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Развитие цифровой культуры: Необходимо формировать цифровую культуру у педагогов и учащихся, обучая их безопасному и ответственному использованию технологий.</w:t>
      </w:r>
    </w:p>
    <w:p w14:paraId="0352B471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 w14:paraId="6D905BAD">
      <w:pPr>
        <w:wordWrap/>
        <w:ind w:firstLine="708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ИКТ-компетентность педагога – это ключевой фактор успешного обучения в современном мире. Развитие ИКТ-компетентности педагогов является важной задачей, требующей совместных усилий государства, образовательных учреждений и самих педагогов. </w:t>
      </w:r>
    </w:p>
    <w:p w14:paraId="75ED526C">
      <w:pPr>
        <w:wordWrap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7458AA"/>
    <w:multiLevelType w:val="singleLevel"/>
    <w:tmpl w:val="917458A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6135B"/>
    <w:rsid w:val="3CC6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2025-04-29T21:09:00Z</dcterms:created>
  <dc:creator>Анжелика Пирого�</dc:creator>
  <cp:lastModifiedBy>Анжелика Пирого�</cp:lastModifiedBy>
  <dcterms:modified xsi:type="dcterms:W3CDTF">2025-04-29T21:16:16Z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9105B59AD183404882198B62D83E0069_11</vt:lpwstr>
  </property>
</Properties>
</file>