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051AE5">
        <w:rPr>
          <w:rFonts w:ascii="Times New Roman" w:hAnsi="Times New Roman" w:cs="Times New Roman"/>
          <w:b/>
          <w:bCs/>
          <w:caps/>
          <w:sz w:val="28"/>
          <w:szCs w:val="28"/>
        </w:rPr>
        <w:t>Формирование метапредметных универсальных учебных действий обучающихся средствами педагогических технологий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AE5">
        <w:rPr>
          <w:rStyle w:val="a7"/>
          <w:rFonts w:ascii="Times New Roman" w:hAnsi="Times New Roman" w:cs="Times New Roman"/>
          <w:b/>
          <w:sz w:val="28"/>
          <w:szCs w:val="28"/>
        </w:rPr>
        <w:footnoteReference w:customMarkFollows="1" w:id="1"/>
        <w:sym w:font="Symbol" w:char="F020"/>
      </w:r>
      <w:r w:rsidRPr="00051AE5">
        <w:rPr>
          <w:rFonts w:ascii="Times New Roman" w:hAnsi="Times New Roman" w:cs="Times New Roman"/>
          <w:b/>
          <w:sz w:val="28"/>
          <w:szCs w:val="28"/>
        </w:rPr>
        <w:t>В.Г. Черемисина</w:t>
      </w:r>
      <w:proofErr w:type="gramStart"/>
      <w:r w:rsidRPr="00051AE5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proofErr w:type="gramEnd"/>
      <w:r w:rsidRPr="00051AE5">
        <w:rPr>
          <w:rFonts w:ascii="Times New Roman" w:hAnsi="Times New Roman" w:cs="Times New Roman"/>
          <w:b/>
          <w:sz w:val="28"/>
          <w:szCs w:val="28"/>
        </w:rPr>
        <w:t>, А.П. Губерт</w:t>
      </w:r>
      <w:r w:rsidRPr="00051AE5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к.п.н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., доцент, доцент кафедры педагогики и психологии, </w:t>
      </w:r>
      <w:r w:rsidRPr="00051AE5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051AE5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1 </w:t>
      </w:r>
      <w:r w:rsidRPr="00051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ФГБОУ </w:t>
      </w:r>
      <w:proofErr w:type="gramStart"/>
      <w:r w:rsidRPr="00051AE5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proofErr w:type="gramEnd"/>
      <w:r w:rsidRPr="00051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«Кемеровский государственный университет» (г. Кемерово), Россия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051AE5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Заринская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СОШ им. М.А. Аверина»,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Промышленовский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муниципальный округ, Россия</w:t>
      </w:r>
    </w:p>
    <w:p w:rsidR="00ED71E6" w:rsidRPr="00051AE5" w:rsidRDefault="00ED71E6" w:rsidP="00ED71E6">
      <w:pPr>
        <w:pStyle w:val="a4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D71E6" w:rsidRPr="00051AE5" w:rsidRDefault="00ED71E6" w:rsidP="00ED71E6">
      <w:pPr>
        <w:pStyle w:val="a4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51AE5">
        <w:rPr>
          <w:rFonts w:ascii="Times New Roman" w:hAnsi="Times New Roman"/>
          <w:b/>
          <w:i/>
          <w:sz w:val="28"/>
          <w:szCs w:val="28"/>
        </w:rPr>
        <w:t>Аннотация.</w:t>
      </w:r>
      <w:r w:rsidRPr="00051AE5">
        <w:rPr>
          <w:rFonts w:ascii="Times New Roman" w:hAnsi="Times New Roman"/>
          <w:i/>
          <w:sz w:val="28"/>
          <w:szCs w:val="28"/>
        </w:rPr>
        <w:t xml:space="preserve"> В статье рассматривается поэтапная педагогическая технология формирования </w:t>
      </w:r>
      <w:proofErr w:type="spellStart"/>
      <w:r w:rsidRPr="00051AE5">
        <w:rPr>
          <w:rFonts w:ascii="Times New Roman" w:hAnsi="Times New Roman"/>
          <w:i/>
          <w:sz w:val="28"/>
          <w:szCs w:val="28"/>
        </w:rPr>
        <w:t>метапредметных</w:t>
      </w:r>
      <w:proofErr w:type="spellEnd"/>
      <w:r w:rsidRPr="00051AE5">
        <w:rPr>
          <w:rFonts w:ascii="Times New Roman" w:hAnsi="Times New Roman"/>
          <w:i/>
          <w:sz w:val="28"/>
          <w:szCs w:val="28"/>
        </w:rPr>
        <w:t xml:space="preserve"> ун</w:t>
      </w:r>
      <w:bookmarkStart w:id="0" w:name="_GoBack"/>
      <w:bookmarkEnd w:id="0"/>
      <w:r w:rsidRPr="00051AE5">
        <w:rPr>
          <w:rFonts w:ascii="Times New Roman" w:hAnsi="Times New Roman"/>
          <w:i/>
          <w:sz w:val="28"/>
          <w:szCs w:val="28"/>
        </w:rPr>
        <w:t>иверсальных учебных действий обучающихся</w:t>
      </w:r>
    </w:p>
    <w:p w:rsidR="00ED71E6" w:rsidRPr="00051AE5" w:rsidRDefault="00ED71E6" w:rsidP="00ED71E6">
      <w:pPr>
        <w:pStyle w:val="a4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51AE5">
        <w:rPr>
          <w:rFonts w:ascii="Times New Roman" w:hAnsi="Times New Roman"/>
          <w:b/>
          <w:i/>
          <w:sz w:val="28"/>
          <w:szCs w:val="28"/>
        </w:rPr>
        <w:t>Ключевые слова:</w:t>
      </w:r>
      <w:r w:rsidRPr="00051AE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51AE5">
        <w:rPr>
          <w:rFonts w:ascii="Times New Roman" w:hAnsi="Times New Roman"/>
          <w:i/>
          <w:sz w:val="28"/>
          <w:szCs w:val="28"/>
        </w:rPr>
        <w:t>метапредметные</w:t>
      </w:r>
      <w:proofErr w:type="spellEnd"/>
      <w:r w:rsidRPr="00051AE5">
        <w:rPr>
          <w:rFonts w:ascii="Times New Roman" w:hAnsi="Times New Roman"/>
          <w:i/>
          <w:sz w:val="28"/>
          <w:szCs w:val="28"/>
        </w:rPr>
        <w:t xml:space="preserve"> результаты, педагогическая технология, универсальные учебные действия.</w:t>
      </w:r>
    </w:p>
    <w:p w:rsidR="00ED71E6" w:rsidRPr="00051AE5" w:rsidRDefault="00ED71E6" w:rsidP="00ED71E6">
      <w:pPr>
        <w:pStyle w:val="a4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ED71E6" w:rsidRPr="00051AE5" w:rsidRDefault="00ED71E6" w:rsidP="00ED71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ab/>
        <w:t xml:space="preserve">Современный мир, характеризующийся стремительным технологическим прогрессом и глобализацией, предъявляет к системе образования новые, принципиально важные требования.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Российское образование стоит перед необходимостью кардинального преобразования, перехода от массовой подготовки к персонализированному обучению, воспитывающему нестандартно мыслящих, креативных и культурно развитых личностей, способных эффективно управлять собственной деятельностью и коллективной работой для достижения общих целей.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Эта задача выходит далеко за рамки простого обновления учебных программ – она требует переосмысления всей парадигмы образования.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Текущая ситуация характеризуется противоречием между стремлением к индивидуализации обучения и сохранением превалирующего в ФГОС НОО принципа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метапредметности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, который, несмотря на заявленную интеграцию содержания и способов деятельности, часто сводится к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монопредметному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подходу [2].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Хотя идеи А.Г.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Асмолова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, А.В. Хуторского и Ю.В. Громыко, лежащие в основе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подхода, направлены на формирование универсальных учебных действий (УУД), на практике их реализация не всегда обеспечивает необходимый уровень гибкости и адаптивности </w:t>
      </w:r>
      <w:r w:rsidRPr="00051AE5">
        <w:rPr>
          <w:rFonts w:ascii="Times New Roman" w:hAnsi="Times New Roman" w:cs="Times New Roman"/>
          <w:sz w:val="28"/>
          <w:szCs w:val="28"/>
        </w:rPr>
        <w:lastRenderedPageBreak/>
        <w:t xml:space="preserve">выпускников к быстро меняющимся условиям постиндустриального общества.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Проблема заключается в том, что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метапредметность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, в своей нынешней интерпретации, часто не учитывает уникальные особенности каждого обучающегося. Она стремится к усредненному результату, игнорируя индивидуальные темпы развития, когнитивные стили и интересы. В результате, даже при овладении УУД, многие выпускники испытывают трудности с творческим применением знаний на практике, что противоречит цели образования, сформулированной С.И. Гессеном: овладение умением добывать знания и творчески их применять [6].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Для решения этой проблемы необходимо перейти от принципа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метапредметности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как цели к принципу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метапредметности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как средству достижения персонализированного обучения. Это означает индивидуальный подход к построению образовательной траектории каждого ученика, учет его сильных и слабых сторон, интересов и целей.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 Необходимо активное внедрение технологий персонализированного обучения, таких как: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>-«Адаптивное обучение»: использование цифровых платформ, автоматически подстраивающих сложность заданий под уровень подготовки ученика.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-«Проектное обучение»: решение реальных задач, позволяющих применить знания на практике и развивать креативное мышление.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-«Обучение на основе игр»: использование игровых механик для повышения мотивации и вовлечения в учебный процесс.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-«Индивидуальное консультирование»: предоставление ученикам возможности получить индивидуальную поддержку от педагогов и психологов.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Внедрение этих технологий требует не только обновления учебных программ и методик, но и переподготовки педагогических кадров. Необходимо обучить учителей работе с индивидуальными образовательными траекториями, использованию новых технологий и методов обучения. </w:t>
      </w:r>
    </w:p>
    <w:p w:rsidR="00ED71E6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Кроме того, важно создать систему мониторинга эффективности персонализированного обучения, чтобы своевременно внести необходимые коррективы. </w:t>
      </w:r>
    </w:p>
    <w:p w:rsidR="00F13F33" w:rsidRPr="00051AE5" w:rsidRDefault="00ED71E6" w:rsidP="00ED71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В заключение, можно сказать, что переход к персонализированному обучению – это не просто изменение в системе образования, а необходимый шаг для подготовки конкурентоспособных и адаптивных специалистов, способных решать сложные задачи современного мира. Это долгосрочный </w:t>
      </w:r>
      <w:r w:rsidRPr="00051AE5">
        <w:rPr>
          <w:rFonts w:ascii="Times New Roman" w:hAnsi="Times New Roman" w:cs="Times New Roman"/>
          <w:sz w:val="28"/>
          <w:szCs w:val="28"/>
        </w:rPr>
        <w:lastRenderedPageBreak/>
        <w:t>процесс, требующий системного подхода и значительных вложений, но результаты стоят этих затрат.</w:t>
      </w:r>
    </w:p>
    <w:p w:rsidR="00ED71E6" w:rsidRPr="00051AE5" w:rsidRDefault="00ED71E6" w:rsidP="00ED71E6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71E6" w:rsidRPr="00051AE5" w:rsidRDefault="00ED71E6" w:rsidP="00ED71E6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051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ED71E6" w:rsidRPr="00051AE5" w:rsidRDefault="00ED71E6" w:rsidP="00ED71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Герт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>, В.А. Индивидуальность и индивидуализация человека / Педагогическое образование в России. – 2014. – № 4. – С. 209-214.</w:t>
      </w:r>
    </w:p>
    <w:p w:rsidR="00ED71E6" w:rsidRPr="00051AE5" w:rsidRDefault="00ED71E6" w:rsidP="00ED71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Дылгырова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, Р.Д. Идеи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метапредметности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в истории педагогики // Ученые записки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ЗабГУ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>. – 2014. – № 5 (58). – С. 6-13. (Серия «Педагогические науки»)</w:t>
      </w:r>
      <w:r w:rsidRPr="00051A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71E6" w:rsidRPr="00051AE5" w:rsidRDefault="00ED71E6" w:rsidP="00ED71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Маркушевская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, Елена Александровна, Рубцова, Наталья Николаевна. Организационно-педагогическое сопровождение подготовки будущих учителей начальных классов к формированию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компетенций у младших школьников // Вестник Адыгейского государственного университета. Серия 3: Педагогика и психология. – 2022. – №1 (293). URL: https://cyberleninka.ru/article/n/organizatsionno-pedagogicheskoe-soprovozhdenie-podgotovki-buduschih-uchiteley-nachalnyh-klassov-k-formirovaniyu-metapredmetnyh (дата обращения: 30.11.2024).</w:t>
      </w:r>
    </w:p>
    <w:p w:rsidR="00ED71E6" w:rsidRPr="00051AE5" w:rsidRDefault="00ED71E6" w:rsidP="00ED71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Педагогика высокого полета: методические указания / Н.Е.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Щуркова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, П.И.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>, С.И. Попова [и др.]. – М.: Педагогический поиск, 2015. – 128 с.</w:t>
      </w:r>
    </w:p>
    <w:p w:rsidR="00ED71E6" w:rsidRPr="00051AE5" w:rsidRDefault="00ED71E6" w:rsidP="00ED71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51AE5">
        <w:rPr>
          <w:rFonts w:ascii="Times New Roman" w:hAnsi="Times New Roman" w:cs="Times New Roman"/>
          <w:noProof/>
          <w:sz w:val="28"/>
          <w:szCs w:val="28"/>
        </w:rPr>
        <w:t>Петунин, О.В., Черемисина, В.Г. Тьюторские технологии развития профессиональных компетенций педагогических кадров региона (на примере Кемеровской области), Мир образования — образование в мире № 04/2023</w:t>
      </w:r>
    </w:p>
    <w:p w:rsidR="00ED71E6" w:rsidRPr="00051AE5" w:rsidRDefault="00ED71E6" w:rsidP="00ED71E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1AE5">
        <w:rPr>
          <w:rFonts w:ascii="Times New Roman" w:hAnsi="Times New Roman" w:cs="Times New Roman"/>
          <w:sz w:val="28"/>
          <w:szCs w:val="28"/>
        </w:rPr>
        <w:t xml:space="preserve">Хуторской, А.В. 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Метапредметное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 xml:space="preserve"> содержание и результаты образования: как реализовать федеральные государственные образовательные стандарты (ФГОС) [Электронный ресурс] // Интернет-журнал «</w:t>
      </w:r>
      <w:proofErr w:type="spellStart"/>
      <w:r w:rsidRPr="00051AE5">
        <w:rPr>
          <w:rFonts w:ascii="Times New Roman" w:hAnsi="Times New Roman" w:cs="Times New Roman"/>
          <w:sz w:val="28"/>
          <w:szCs w:val="28"/>
        </w:rPr>
        <w:t>Эйдос</w:t>
      </w:r>
      <w:proofErr w:type="spellEnd"/>
      <w:r w:rsidRPr="00051AE5">
        <w:rPr>
          <w:rFonts w:ascii="Times New Roman" w:hAnsi="Times New Roman" w:cs="Times New Roman"/>
          <w:sz w:val="28"/>
          <w:szCs w:val="28"/>
        </w:rPr>
        <w:t>». – 2012. – № 1. URL: http://www.eidos.ru/journal/ 2012/0229-10.htm (дата обращения: 30.11.2024)</w:t>
      </w:r>
      <w:r w:rsidRPr="00051A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71E6" w:rsidRPr="00051AE5" w:rsidRDefault="00ED71E6" w:rsidP="00ED71E6">
      <w:pPr>
        <w:ind w:firstLine="708"/>
        <w:jc w:val="both"/>
        <w:rPr>
          <w:sz w:val="28"/>
          <w:szCs w:val="28"/>
        </w:rPr>
      </w:pPr>
    </w:p>
    <w:p w:rsidR="00ED71E6" w:rsidRPr="00051AE5" w:rsidRDefault="00ED71E6" w:rsidP="00ED7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FORMATION OF META-SUBJECT UNIVERSAL EDUCATIONAL ACTIONS 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OF STUDENTS USING PEDAGOGICAL TECHNOLOGIES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V.G. Cheremisina</w:t>
      </w:r>
      <w:r w:rsidRPr="00051AE5">
        <w:rPr>
          <w:rFonts w:ascii="Times New Roman" w:hAnsi="Times New Roman" w:cs="Times New Roman"/>
          <w:b/>
          <w:noProof/>
          <w:sz w:val="28"/>
          <w:szCs w:val="28"/>
          <w:vertAlign w:val="superscript"/>
          <w:lang w:val="en-US"/>
        </w:rPr>
        <w:t>1</w:t>
      </w:r>
      <w:r w:rsidRPr="00051AE5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, A.P. Gubert</w:t>
      </w:r>
      <w:r w:rsidRPr="00051AE5">
        <w:rPr>
          <w:rFonts w:ascii="Times New Roman" w:hAnsi="Times New Roman" w:cs="Times New Roman"/>
          <w:b/>
          <w:noProof/>
          <w:sz w:val="28"/>
          <w:szCs w:val="28"/>
          <w:vertAlign w:val="superscript"/>
          <w:lang w:val="en-US"/>
        </w:rPr>
        <w:t>2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noProof/>
          <w:sz w:val="28"/>
          <w:szCs w:val="28"/>
          <w:vertAlign w:val="superscript"/>
          <w:lang w:val="en-US"/>
        </w:rPr>
        <w:t xml:space="preserve">1 </w:t>
      </w:r>
      <w:r w:rsidRPr="00051AE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Candidate of Pedagogical Sciences, Associate Professor, 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Associate Professor of the Department of Pedagogy and Psychology, </w:t>
      </w:r>
      <w:r w:rsidRPr="00051AE5">
        <w:rPr>
          <w:rFonts w:ascii="Times New Roman" w:hAnsi="Times New Roman" w:cs="Times New Roman"/>
          <w:noProof/>
          <w:sz w:val="28"/>
          <w:szCs w:val="28"/>
          <w:vertAlign w:val="superscript"/>
          <w:lang w:val="en-US"/>
        </w:rPr>
        <w:t>2</w:t>
      </w:r>
      <w:r w:rsidRPr="00051AE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Primary School Teacher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noProof/>
          <w:sz w:val="28"/>
          <w:szCs w:val="28"/>
          <w:vertAlign w:val="superscript"/>
          <w:lang w:val="en-US"/>
        </w:rPr>
        <w:t xml:space="preserve">1 </w:t>
      </w:r>
      <w:r w:rsidRPr="00051AE5">
        <w:rPr>
          <w:rFonts w:ascii="Times New Roman" w:hAnsi="Times New Roman" w:cs="Times New Roman"/>
          <w:noProof/>
          <w:sz w:val="28"/>
          <w:szCs w:val="28"/>
          <w:lang w:val="en-US"/>
        </w:rPr>
        <w:t>FSBEI HE "Kemerovo State University" (Kemerovo), Russia</w:t>
      </w:r>
    </w:p>
    <w:p w:rsidR="00ED71E6" w:rsidRPr="00051AE5" w:rsidRDefault="00ED71E6" w:rsidP="00ED71E6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noProof/>
          <w:sz w:val="28"/>
          <w:szCs w:val="28"/>
          <w:vertAlign w:val="superscript"/>
          <w:lang w:val="en-US"/>
        </w:rPr>
        <w:t xml:space="preserve">2 </w:t>
      </w:r>
      <w:r w:rsidRPr="00051AE5">
        <w:rPr>
          <w:rFonts w:ascii="Times New Roman" w:hAnsi="Times New Roman" w:cs="Times New Roman"/>
          <w:noProof/>
          <w:sz w:val="28"/>
          <w:szCs w:val="28"/>
          <w:lang w:val="en-US"/>
        </w:rPr>
        <w:t>Zarinskaya Secondary School named after M.A. Averin, Promyshlenny Municipal District, Russia</w:t>
      </w:r>
    </w:p>
    <w:p w:rsidR="00ED71E6" w:rsidRPr="00051AE5" w:rsidRDefault="00ED71E6" w:rsidP="00ED71E6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ED71E6" w:rsidRPr="00051AE5" w:rsidRDefault="00ED71E6" w:rsidP="00ED71E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noProof/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Abstract.</w:t>
      </w:r>
      <w:r w:rsidRPr="00051AE5">
        <w:rPr>
          <w:rFonts w:ascii="Times New Roman" w:hAnsi="Times New Roman" w:cs="Times New Roman"/>
          <w:i/>
          <w:noProof/>
          <w:sz w:val="28"/>
          <w:szCs w:val="28"/>
          <w:lang w:val="en-US"/>
        </w:rPr>
        <w:t xml:space="preserve"> The article discusses the step-by-step pedagogical technology for the formation of meta-subject universal educational actions of students</w:t>
      </w:r>
    </w:p>
    <w:p w:rsidR="00ED71E6" w:rsidRPr="00051AE5" w:rsidRDefault="00ED71E6" w:rsidP="00ED71E6">
      <w:pPr>
        <w:ind w:firstLine="708"/>
        <w:jc w:val="both"/>
        <w:rPr>
          <w:sz w:val="28"/>
          <w:szCs w:val="28"/>
          <w:lang w:val="en-US"/>
        </w:rPr>
      </w:pPr>
      <w:r w:rsidRPr="00051AE5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lastRenderedPageBreak/>
        <w:t>Keywords:</w:t>
      </w:r>
      <w:r w:rsidRPr="00051AE5">
        <w:rPr>
          <w:rFonts w:ascii="Times New Roman" w:hAnsi="Times New Roman" w:cs="Times New Roman"/>
          <w:i/>
          <w:noProof/>
          <w:sz w:val="28"/>
          <w:szCs w:val="28"/>
          <w:lang w:val="en-US"/>
        </w:rPr>
        <w:t xml:space="preserve"> meta-subject results, pedagogical technology, universal educational actions</w:t>
      </w:r>
    </w:p>
    <w:sectPr w:rsidR="00ED71E6" w:rsidRPr="00051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1A6" w:rsidRDefault="004421A6" w:rsidP="00ED71E6">
      <w:pPr>
        <w:spacing w:after="0" w:line="240" w:lineRule="auto"/>
      </w:pPr>
      <w:r>
        <w:separator/>
      </w:r>
    </w:p>
  </w:endnote>
  <w:endnote w:type="continuationSeparator" w:id="0">
    <w:p w:rsidR="004421A6" w:rsidRDefault="004421A6" w:rsidP="00ED7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1A6" w:rsidRDefault="004421A6" w:rsidP="00ED71E6">
      <w:pPr>
        <w:spacing w:after="0" w:line="240" w:lineRule="auto"/>
      </w:pPr>
      <w:r>
        <w:separator/>
      </w:r>
    </w:p>
  </w:footnote>
  <w:footnote w:type="continuationSeparator" w:id="0">
    <w:p w:rsidR="004421A6" w:rsidRDefault="004421A6" w:rsidP="00ED71E6">
      <w:pPr>
        <w:spacing w:after="0" w:line="240" w:lineRule="auto"/>
      </w:pPr>
      <w:r>
        <w:continuationSeparator/>
      </w:r>
    </w:p>
  </w:footnote>
  <w:footnote w:id="1">
    <w:p w:rsidR="00ED71E6" w:rsidRPr="00DB0843" w:rsidRDefault="00ED71E6" w:rsidP="00ED71E6">
      <w:pPr>
        <w:pStyle w:val="a5"/>
      </w:pPr>
      <w:r w:rsidRPr="00CB1A3E">
        <w:rPr>
          <w:rStyle w:val="a7"/>
        </w:rPr>
        <w:sym w:font="Symbol" w:char="F020"/>
      </w:r>
      <w:r>
        <w:t xml:space="preserve"> </w:t>
      </w:r>
      <w:r w:rsidRPr="004D2DED">
        <w:rPr>
          <w:rFonts w:ascii="Times New Roman" w:hAnsi="Times New Roman"/>
          <w:sz w:val="18"/>
          <w:szCs w:val="18"/>
        </w:rPr>
        <w:t>©</w:t>
      </w:r>
      <w:r w:rsidRPr="00CB1A3E">
        <w:t xml:space="preserve"> </w:t>
      </w:r>
      <w:r>
        <w:rPr>
          <w:rFonts w:ascii="Times New Roman" w:hAnsi="Times New Roman"/>
          <w:sz w:val="18"/>
          <w:szCs w:val="18"/>
        </w:rPr>
        <w:t>Черемисина</w:t>
      </w:r>
      <w:r>
        <w:rPr>
          <w:rFonts w:ascii="Times New Roman" w:hAnsi="Times New Roman"/>
          <w:sz w:val="18"/>
          <w:szCs w:val="18"/>
          <w:lang w:val="en-US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В.Г., </w:t>
      </w:r>
      <w:proofErr w:type="spellStart"/>
      <w:r>
        <w:rPr>
          <w:rFonts w:ascii="Times New Roman" w:hAnsi="Times New Roman"/>
          <w:sz w:val="18"/>
          <w:szCs w:val="18"/>
        </w:rPr>
        <w:t>Губерт</w:t>
      </w:r>
      <w:proofErr w:type="spellEnd"/>
      <w:r>
        <w:rPr>
          <w:rFonts w:ascii="Times New Roman" w:hAnsi="Times New Roman"/>
          <w:sz w:val="18"/>
          <w:szCs w:val="18"/>
          <w:lang w:val="en-US"/>
        </w:rPr>
        <w:t xml:space="preserve"> </w:t>
      </w:r>
      <w:r>
        <w:rPr>
          <w:rFonts w:ascii="Times New Roman" w:hAnsi="Times New Roman"/>
          <w:sz w:val="18"/>
          <w:szCs w:val="18"/>
        </w:rPr>
        <w:t>А.П.</w:t>
      </w:r>
      <w:r>
        <w:rPr>
          <w:rFonts w:ascii="Times New Roman" w:hAnsi="Times New Roman"/>
          <w:sz w:val="18"/>
          <w:szCs w:val="18"/>
          <w:lang w:val="en-US"/>
        </w:rPr>
        <w:t xml:space="preserve"> / </w:t>
      </w:r>
      <w:proofErr w:type="spellStart"/>
      <w:r>
        <w:rPr>
          <w:rFonts w:ascii="Times New Roman" w:hAnsi="Times New Roman"/>
          <w:sz w:val="18"/>
          <w:szCs w:val="18"/>
          <w:lang w:val="en-US"/>
        </w:rPr>
        <w:t>Che</w:t>
      </w:r>
      <w:r w:rsidR="00DB0843">
        <w:rPr>
          <w:rFonts w:ascii="Times New Roman" w:hAnsi="Times New Roman"/>
          <w:sz w:val="18"/>
          <w:szCs w:val="18"/>
          <w:lang w:val="en-US"/>
        </w:rPr>
        <w:t>remisina</w:t>
      </w:r>
      <w:proofErr w:type="spellEnd"/>
      <w:r w:rsidR="00DB0843">
        <w:rPr>
          <w:rFonts w:ascii="Times New Roman" w:hAnsi="Times New Roman"/>
          <w:sz w:val="18"/>
          <w:szCs w:val="18"/>
          <w:lang w:val="en-US"/>
        </w:rPr>
        <w:t xml:space="preserve"> V.G., </w:t>
      </w:r>
      <w:proofErr w:type="spellStart"/>
      <w:r w:rsidR="00DB0843">
        <w:rPr>
          <w:rFonts w:ascii="Times New Roman" w:hAnsi="Times New Roman"/>
          <w:sz w:val="18"/>
          <w:szCs w:val="18"/>
          <w:lang w:val="en-US"/>
        </w:rPr>
        <w:t>Gubert</w:t>
      </w:r>
      <w:proofErr w:type="spellEnd"/>
      <w:r w:rsidR="00DB0843">
        <w:rPr>
          <w:rFonts w:ascii="Times New Roman" w:hAnsi="Times New Roman"/>
          <w:sz w:val="18"/>
          <w:szCs w:val="18"/>
          <w:lang w:val="en-US"/>
        </w:rPr>
        <w:t xml:space="preserve"> A.P., 202</w:t>
      </w:r>
      <w:r w:rsidR="00DB0843">
        <w:rPr>
          <w:rFonts w:ascii="Times New Roman" w:hAnsi="Times New Roman"/>
          <w:sz w:val="18"/>
          <w:szCs w:val="18"/>
        </w:rPr>
        <w:t>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F2EA3"/>
    <w:multiLevelType w:val="hybridMultilevel"/>
    <w:tmpl w:val="562EB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7"/>
    <w:rsid w:val="00051AE5"/>
    <w:rsid w:val="004421A6"/>
    <w:rsid w:val="008351E7"/>
    <w:rsid w:val="008C13D4"/>
    <w:rsid w:val="00C076D7"/>
    <w:rsid w:val="00C23D54"/>
    <w:rsid w:val="00DB0843"/>
    <w:rsid w:val="00ED71E6"/>
    <w:rsid w:val="00F13F33"/>
    <w:rsid w:val="00FF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ff">
    <w:name w:val="diff"/>
    <w:basedOn w:val="a0"/>
    <w:rsid w:val="00F13F33"/>
  </w:style>
  <w:style w:type="paragraph" w:styleId="a3">
    <w:name w:val="List Paragraph"/>
    <w:basedOn w:val="a"/>
    <w:uiPriority w:val="34"/>
    <w:qFormat/>
    <w:rsid w:val="00ED71E6"/>
    <w:pPr>
      <w:ind w:left="720"/>
    </w:pPr>
    <w:rPr>
      <w:rFonts w:ascii="Calibri" w:eastAsiaTheme="minorEastAsia" w:hAnsi="Calibri" w:cs="Calibri"/>
    </w:rPr>
  </w:style>
  <w:style w:type="paragraph" w:styleId="a4">
    <w:name w:val="No Spacing"/>
    <w:uiPriority w:val="99"/>
    <w:qFormat/>
    <w:rsid w:val="00ED7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ED71E6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D71E6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D71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ff">
    <w:name w:val="diff"/>
    <w:basedOn w:val="a0"/>
    <w:rsid w:val="00F13F33"/>
  </w:style>
  <w:style w:type="paragraph" w:styleId="a3">
    <w:name w:val="List Paragraph"/>
    <w:basedOn w:val="a"/>
    <w:uiPriority w:val="34"/>
    <w:qFormat/>
    <w:rsid w:val="00ED71E6"/>
    <w:pPr>
      <w:ind w:left="720"/>
    </w:pPr>
    <w:rPr>
      <w:rFonts w:ascii="Calibri" w:eastAsiaTheme="minorEastAsia" w:hAnsi="Calibri" w:cs="Calibri"/>
    </w:rPr>
  </w:style>
  <w:style w:type="paragraph" w:styleId="a4">
    <w:name w:val="No Spacing"/>
    <w:uiPriority w:val="99"/>
    <w:qFormat/>
    <w:rsid w:val="00ED7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ED71E6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D71E6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D71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2025-02-23T14:32:00Z</dcterms:created>
  <dcterms:modified xsi:type="dcterms:W3CDTF">2025-02-23T14:32:00Z</dcterms:modified>
</cp:coreProperties>
</file>