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Департамент образования мэрии города Новосибирска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Муниципальное бюджетное учреждение дополнительного образования города Новосибирска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«Центр внешкольной работы «Галактика»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1811" w:right="1802"/>
        <w:jc w:val="center"/>
        <w:rPr>
          <w:rFonts w:ascii="Times New Roman" w:eastAsia="Times New Roman" w:hAnsi="Times New Roman" w:cs="Times New Roman"/>
          <w:iCs/>
          <w:sz w:val="24"/>
          <w:szCs w:val="20"/>
        </w:rPr>
      </w:pPr>
      <w:r>
        <w:rPr>
          <w:rFonts w:ascii="Times New Roman" w:eastAsia="Times New Roman" w:hAnsi="Times New Roman" w:cs="Times New Roman"/>
          <w:iCs/>
          <w:sz w:val="24"/>
          <w:szCs w:val="20"/>
        </w:rPr>
        <w:t>(МБУДО ЦВР «Галактика»)</w:t>
      </w:r>
    </w:p>
    <w:p>
      <w:pPr>
        <w:widowControl w:val="0"/>
        <w:autoSpaceDE w:val="0"/>
        <w:autoSpaceDN w:val="0"/>
        <w:adjustRightInd w:val="0"/>
        <w:spacing w:after="0" w:line="274" w:lineRule="exact"/>
        <w:ind w:left="1808" w:right="1802"/>
        <w:jc w:val="center"/>
        <w:rPr>
          <w:rFonts w:ascii="Times New Roman" w:eastAsia="Times New Roman" w:hAnsi="Times New Roman" w:cs="Times New Roman"/>
          <w:i/>
          <w:iCs/>
          <w:sz w:val="24"/>
          <w:szCs w:val="20"/>
        </w:rPr>
      </w:pPr>
    </w:p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</w:pPr>
    </w:p>
    <w:tbl>
      <w:tblPr>
        <w:tblW w:w="10207" w:type="dxa"/>
        <w:tblInd w:w="-318" w:type="dxa"/>
        <w:tblLook w:val="00A0" w:firstRow="1" w:lastRow="0" w:firstColumn="1" w:lastColumn="0" w:noHBand="0" w:noVBand="0"/>
      </w:tblPr>
      <w:tblGrid>
        <w:gridCol w:w="4962"/>
        <w:gridCol w:w="567"/>
        <w:gridCol w:w="4678"/>
      </w:tblGrid>
      <w:tr>
        <w:tc>
          <w:tcPr>
            <w:tcW w:w="4962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ПРИНЯТА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решением педагогического совета МБУДО ЦВР «Галактика»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(протокол от _____________№______)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56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67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УТВЕРЖДЕНА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приказом №___ от _________20     г.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Директор МБУДО ЦВР «Галактика»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___________________ Н. П. Агапова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  <w:t>Краткосрочная программа</w:t>
      </w:r>
    </w:p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  <w:t xml:space="preserve">летней профильной смены </w:t>
      </w:r>
    </w:p>
    <w:p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44"/>
          <w:szCs w:val="44"/>
        </w:rPr>
        <w:t>«Шахматное лето»</w:t>
      </w:r>
    </w:p>
    <w:p>
      <w:pPr>
        <w:spacing w:after="0" w:line="360" w:lineRule="auto"/>
        <w:rPr>
          <w:rFonts w:ascii="Times New Roman" w:hAnsi="Times New Roman" w:cs="Times New Roman"/>
          <w:sz w:val="44"/>
          <w:szCs w:val="44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Возраст учащихся: 7-17 лет</w:t>
      </w: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Срок реализации: 5 дней</w:t>
      </w: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3063931" cy="2124000"/>
            <wp:effectExtent l="0" t="0" r="3175" b="0"/>
            <wp:docPr id="1" name="Рисунок 1" descr="https://images-na.ssl-images-amazon.com/images/I/61munVMjIjL.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-na.ssl-images-amazon.com/images/I/61munVMjIjL._SL1500_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5" t="18795" r="5834" b="18904"/>
                    <a:stretch/>
                  </pic:blipFill>
                  <pic:spPr bwMode="auto">
                    <a:xfrm>
                      <a:off x="0" y="0"/>
                      <a:ext cx="3063931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Cs/>
          <w:sz w:val="24"/>
          <w:szCs w:val="20"/>
        </w:rPr>
      </w:pPr>
    </w:p>
    <w:p>
      <w:pPr>
        <w:widowControl w:val="0"/>
        <w:autoSpaceDE w:val="0"/>
        <w:autoSpaceDN w:val="0"/>
        <w:adjustRightInd w:val="0"/>
        <w:spacing w:after="0" w:line="360" w:lineRule="auto"/>
        <w:ind w:firstLine="3828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Авторы-составители: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142" w:firstLine="3686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Груздова Ирина Владимировна,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142" w:firstLine="3686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педагог-организатор,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142" w:firstLine="3686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Виль Ольга Владимировна,</w:t>
      </w:r>
    </w:p>
    <w:p>
      <w:pPr>
        <w:widowControl w:val="0"/>
        <w:autoSpaceDE w:val="0"/>
        <w:autoSpaceDN w:val="0"/>
        <w:adjustRightInd w:val="0"/>
        <w:spacing w:after="60" w:line="240" w:lineRule="auto"/>
        <w:ind w:left="142" w:firstLine="3686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заведующая структурным подразделением</w:t>
      </w:r>
    </w:p>
    <w:p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ascii="Times New Roman" w:hAnsi="Times New Roman" w:cs="Times New Roman"/>
          <w:sz w:val="28"/>
          <w:szCs w:val="28"/>
        </w:rPr>
      </w:pPr>
    </w:p>
    <w:p>
      <w:pPr>
        <w:pStyle w:val="1"/>
        <w:jc w:val="center"/>
        <w:rPr>
          <w:iCs/>
          <w:sz w:val="32"/>
          <w:szCs w:val="32"/>
        </w:rPr>
      </w:pPr>
      <w:r>
        <w:rPr>
          <w:b w:val="0"/>
          <w:bCs w:val="0"/>
          <w:iCs/>
          <w:color w:val="auto"/>
          <w:kern w:val="0"/>
          <w:sz w:val="28"/>
          <w:szCs w:val="28"/>
        </w:rPr>
        <w:t>г. Новосибирск 2024</w:t>
      </w:r>
      <w:r>
        <w:rPr>
          <w:bCs w:val="0"/>
          <w:iCs/>
          <w:color w:val="auto"/>
          <w:kern w:val="0"/>
          <w:sz w:val="28"/>
          <w:szCs w:val="28"/>
        </w:rPr>
        <w:br w:type="page"/>
      </w:r>
    </w:p>
    <w:p>
      <w:pPr>
        <w:pStyle w:val="1"/>
        <w:jc w:val="center"/>
        <w:rPr>
          <w:iCs/>
          <w:sz w:val="32"/>
          <w:szCs w:val="32"/>
        </w:rPr>
      </w:pPr>
    </w:p>
    <w:sdt>
      <w:sdtPr>
        <w:rPr>
          <w:rFonts w:ascii="Calibri" w:eastAsia="Calibri" w:hAnsi="Calibri" w:cs="Calibri"/>
          <w:color w:val="000000"/>
          <w:sz w:val="19"/>
        </w:rPr>
        <w:id w:val="-163626233"/>
      </w:sdtPr>
      <w:sdtEndPr>
        <w:rPr>
          <w:b/>
          <w:bCs/>
          <w:color w:val="auto"/>
        </w:rPr>
      </w:sdtEndPr>
      <w:sdtContent>
        <w:p>
          <w:pPr>
            <w:keepNext/>
            <w:keepLines/>
            <w:spacing w:before="240" w:after="0" w:line="259" w:lineRule="auto"/>
            <w:jc w:val="center"/>
            <w:rPr>
              <w:rFonts w:ascii="Times New Roman" w:eastAsia="Calibri" w:hAnsi="Times New Roman" w:cs="Times New Roman"/>
              <w:b/>
              <w:noProof/>
              <w:sz w:val="28"/>
            </w:rPr>
          </w:pPr>
          <w:r>
            <w:rPr>
              <w:rFonts w:ascii="Times New Roman" w:eastAsia="Calibri" w:hAnsi="Times New Roman" w:cs="Times New Roman"/>
              <w:b/>
              <w:noProof/>
              <w:sz w:val="28"/>
            </w:rPr>
            <w:t>Оглавление</w:t>
          </w:r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r>
            <w:rPr>
              <w:rFonts w:ascii="Calibri" w:eastAsia="Calibri" w:hAnsi="Calibri" w:cs="Calibri"/>
              <w:sz w:val="28"/>
            </w:rPr>
            <w:fldChar w:fldCharType="begin"/>
          </w:r>
          <w:r>
            <w:rPr>
              <w:rFonts w:ascii="Calibri" w:eastAsia="Calibri" w:hAnsi="Calibri" w:cs="Calibri"/>
              <w:sz w:val="28"/>
            </w:rPr>
            <w:instrText xml:space="preserve"> TOC \o "1-3" \h \z \u </w:instrText>
          </w:r>
          <w:r>
            <w:rPr>
              <w:rFonts w:ascii="Calibri" w:eastAsia="Calibri" w:hAnsi="Calibri" w:cs="Calibri"/>
              <w:sz w:val="28"/>
            </w:rPr>
            <w:fldChar w:fldCharType="separate"/>
          </w:r>
          <w:hyperlink w:anchor="_Toc33021090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Пояснительная записка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_Toc33021090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3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1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Целевая аудитория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_Toc33021091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4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2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Сроки реализации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_Toc33021092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4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3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Цель и задачи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_Toc33021093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4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4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Содержание смены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_Toc33021094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4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5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Ожидаемые результаты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_Toc33021095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5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6" w:history="1">
            <w:r>
              <w:rPr>
                <w:rFonts w:ascii="Times New Roman" w:eastAsia="Calibri" w:hAnsi="Times New Roman" w:cs="Times New Roman"/>
                <w:b/>
                <w:noProof/>
                <w:sz w:val="28"/>
                <w:u w:val="single"/>
              </w:rPr>
              <w:t>Ресурсное обеспечение смены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_Toc33021096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5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tabs>
              <w:tab w:val="right" w:leader="dot" w:pos="9339"/>
            </w:tabs>
            <w:spacing w:after="100" w:line="252" w:lineRule="auto"/>
            <w:ind w:hanging="10"/>
            <w:rPr>
              <w:rFonts w:ascii="Calibri" w:eastAsia="Times New Roman" w:hAnsi="Calibri" w:cs="Times New Roman"/>
              <w:noProof/>
              <w:sz w:val="28"/>
            </w:rPr>
          </w:pPr>
          <w:hyperlink w:anchor="_Toc33021097" w:history="1">
            <w:r>
              <w:rPr>
                <w:rFonts w:ascii="Times New Roman" w:eastAsia="Calibri" w:hAnsi="Times New Roman" w:cs="Times New Roman"/>
                <w:i/>
                <w:noProof/>
                <w:sz w:val="28"/>
                <w:u w:val="single"/>
              </w:rPr>
              <w:t>Приложение 1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ab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begin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instrText xml:space="preserve"> PAGEREF _Toc33021097 \h </w:instrTex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separate"/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t>7</w:t>
            </w:r>
            <w:r>
              <w:rPr>
                <w:rFonts w:ascii="Calibri" w:eastAsia="Calibri" w:hAnsi="Calibri" w:cs="Calibri"/>
                <w:noProof/>
                <w:webHidden/>
                <w:sz w:val="28"/>
              </w:rPr>
              <w:fldChar w:fldCharType="end"/>
            </w:r>
          </w:hyperlink>
        </w:p>
        <w:p>
          <w:pPr>
            <w:spacing w:after="3" w:line="252" w:lineRule="auto"/>
            <w:ind w:left="10" w:hanging="10"/>
            <w:rPr>
              <w:rFonts w:ascii="Calibri" w:eastAsia="Calibri" w:hAnsi="Calibri" w:cs="Calibri"/>
              <w:b/>
              <w:bCs/>
              <w:sz w:val="19"/>
            </w:rPr>
          </w:pPr>
          <w:r>
            <w:rPr>
              <w:rFonts w:ascii="Calibri" w:eastAsia="Calibri" w:hAnsi="Calibri" w:cs="Calibri"/>
              <w:b/>
              <w:bCs/>
              <w:sz w:val="28"/>
            </w:rPr>
            <w:fldChar w:fldCharType="end"/>
          </w:r>
        </w:p>
      </w:sdtContent>
    </w:sdt>
    <w:p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>
      <w:pPr>
        <w:pStyle w:val="1"/>
        <w:jc w:val="center"/>
        <w:rPr>
          <w:iCs/>
          <w:color w:val="auto"/>
          <w:sz w:val="24"/>
          <w:szCs w:val="24"/>
        </w:rPr>
      </w:pPr>
      <w:bookmarkStart w:id="0" w:name="_Toc150534685"/>
      <w:r>
        <w:rPr>
          <w:iCs/>
          <w:color w:val="auto"/>
          <w:sz w:val="24"/>
          <w:szCs w:val="24"/>
        </w:rPr>
        <w:lastRenderedPageBreak/>
        <w:t>Пояснительная записка</w:t>
      </w:r>
      <w:bookmarkEnd w:id="0"/>
    </w:p>
    <w:p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Летняя профильная смена по шахматам для детей – это возможность применить и проверить свои навыки и знания, полученные в течение учебного года. Это вызов самому себе и мотивация для развития. Здоровая конкуренция является часть мира спорта и ведет к более глубокому и многогранному пониманию игры в шахматы. </w:t>
      </w:r>
    </w:p>
    <w:p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Задача профильной смены – не только выявить сильнейших игроков, а получить ценный опыт турнирной борьбы. Турнир-это незабываемая атмосфера, он дает понимание важности каждой партии для общего результата. Лишь участие в соревнованиях может раскрыть в ребенке весь заложенный в нем потенциал, реализовать все те же умения и навыки, которые были привиты ему в процессе занятий в течение всего учебного года.</w:t>
      </w:r>
    </w:p>
    <w:p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Принимая участие в летней профильной смене «Шахматное лето», дети сталкиваются с новыми задачами: обыграть неизвестного соперника и использовать свои знания и умения для победы.  Кроме того, юному шахматисту становится легче оценить свой текущий уровень игры в шахматы и понять, в каких направлениях ему необходимо развиваться, после анализа своих партий. Что существенно способствует росту шахматного мастерства, приходит новое понимание шахмат.</w:t>
      </w:r>
    </w:p>
    <w:p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Центральной идеей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создания и реализации программы «Шахматное лето» является задача проведения итогового шахматного соревнования для всех желающих шахматистов, всех возрастных групп, не зависимо от рейтинга. </w:t>
      </w:r>
    </w:p>
    <w:p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Участие в шахматном соревновании является важным моментом в процессе шахматного роста ребенка, это гармоничное дополнение ко всем усилиям, что прикладывал учащийся в течение всего учебного года</w:t>
      </w:r>
    </w:p>
    <w:p>
      <w:pPr>
        <w:spacing w:after="0" w:line="240" w:lineRule="auto"/>
        <w:ind w:firstLine="709"/>
        <w:contextualSpacing/>
        <w:rPr>
          <w:rStyle w:val="10"/>
          <w:rFonts w:eastAsiaTheme="minorEastAsia"/>
          <w:i/>
          <w:color w:val="auto"/>
          <w:sz w:val="24"/>
          <w:szCs w:val="24"/>
        </w:rPr>
      </w:pPr>
      <w:bookmarkStart w:id="1" w:name="_Toc150534688"/>
      <w:r>
        <w:rPr>
          <w:rStyle w:val="10"/>
          <w:rFonts w:eastAsiaTheme="minorEastAsia"/>
          <w:i/>
          <w:color w:val="auto"/>
          <w:sz w:val="24"/>
          <w:szCs w:val="24"/>
        </w:rPr>
        <w:t>Отличительные особенности программы</w:t>
      </w:r>
      <w:bookmarkEnd w:id="1"/>
    </w:p>
    <w:p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Отличительной особенностью структуры программы профильной смены «Шахматное лето» является сочетание теоретических знаний (разбор партий с более опытными юными шахматистами) и практических знаний (участие в турнире) по шахматам. </w:t>
      </w:r>
    </w:p>
    <w:p>
      <w:pPr>
        <w:spacing w:after="5" w:line="268" w:lineRule="auto"/>
        <w:ind w:left="127" w:right="74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участия каждого ребенка в соревнованиях необходим индивидуальный подход к каждому из них через разбор партий.  Необходимо выявить недостатки и ошибки каждого ребенка в отдельности и создать условия, при которых ребенок смог бы их исправить на следующих этапах борьбы. На этом этапе большую роль играет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наставничество, </w:t>
      </w:r>
      <w:r>
        <w:rPr>
          <w:rFonts w:ascii="Times New Roman" w:eastAsia="Times New Roman" w:hAnsi="Times New Roman" w:cs="Times New Roman"/>
          <w:sz w:val="24"/>
          <w:szCs w:val="24"/>
        </w:rPr>
        <w:t>при котором дети, обучающиеся второй и третий год в шахматы, помогают анализировать, менее опытным спортсменам свои шахматные партии. Наставничество, в данной ситуации, выступает, как одна из форм повышения квалификации юных шахматистов, используя внутренний резерв творческого объединения.</w:t>
      </w:r>
    </w:p>
    <w:p>
      <w:pPr>
        <w:pStyle w:val="a5"/>
        <w:spacing w:before="0" w:beforeAutospacing="0" w:after="0" w:afterAutospacing="0"/>
        <w:ind w:firstLine="709"/>
        <w:contextualSpacing/>
        <w:jc w:val="center"/>
        <w:rPr>
          <w:rStyle w:val="10"/>
          <w:rFonts w:eastAsiaTheme="minorEastAsia"/>
          <w:color w:val="auto"/>
          <w:sz w:val="24"/>
          <w:szCs w:val="24"/>
        </w:rPr>
      </w:pPr>
      <w:bookmarkStart w:id="2" w:name="_Toc468966829"/>
      <w:r>
        <w:rPr>
          <w:rStyle w:val="10"/>
          <w:rFonts w:eastAsiaTheme="minorEastAsia"/>
          <w:color w:val="auto"/>
          <w:sz w:val="24"/>
          <w:szCs w:val="24"/>
        </w:rPr>
        <w:t>Целевая аудитория</w:t>
      </w:r>
    </w:p>
    <w:p>
      <w:pPr>
        <w:spacing w:after="0" w:line="240" w:lineRule="auto"/>
        <w:ind w:right="14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программа предназначена для детей от 7-17 лет. В течение дня проходят два турнира: турнир «А» и турнир «В»:</w:t>
      </w:r>
    </w:p>
    <w:p>
      <w:pPr>
        <w:pStyle w:val="a8"/>
        <w:numPr>
          <w:ilvl w:val="0"/>
          <w:numId w:val="28"/>
        </w:numPr>
        <w:spacing w:after="0" w:line="240" w:lineRule="auto"/>
        <w:ind w:left="426" w:right="147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«А» проводится среди начинающих шахматистов и тех шахматистов, у которых рейтинг равен 1000 и которые участвовали в рейтинговых соревнованиях не более 2 раз.</w:t>
      </w:r>
    </w:p>
    <w:p>
      <w:pPr>
        <w:pStyle w:val="a8"/>
        <w:numPr>
          <w:ilvl w:val="0"/>
          <w:numId w:val="28"/>
        </w:numPr>
        <w:spacing w:after="0" w:line="240" w:lineRule="auto"/>
        <w:ind w:left="426" w:right="147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«В» проводится среди разрядников, имеющих международный рейтинг шахматистов России, и шахматистов, у которых рейтинг равен 1000 и которые участвовали в рейтинговых соревнованиях более</w:t>
      </w:r>
      <w:bookmarkStart w:id="3" w:name="_GoBack"/>
      <w:bookmarkEnd w:id="3"/>
      <w:r>
        <w:rPr>
          <w:rFonts w:ascii="Times New Roman" w:hAnsi="Times New Roman" w:cs="Times New Roman"/>
          <w:sz w:val="24"/>
          <w:szCs w:val="24"/>
        </w:rPr>
        <w:t xml:space="preserve"> 2 раз.</w:t>
      </w:r>
    </w:p>
    <w:p>
      <w:pPr>
        <w:spacing w:after="0" w:line="240" w:lineRule="auto"/>
        <w:ind w:right="147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проведение шахматного соревнования</w:t>
      </w:r>
    </w:p>
    <w:p>
      <w:pPr>
        <w:spacing w:after="0" w:line="240" w:lineRule="auto"/>
        <w:ind w:right="14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в соревновании каждому участнику необходимо подать заявку в ИС «Навигатор дополнительного образования детей НСО». </w:t>
      </w:r>
    </w:p>
    <w:p>
      <w:pPr>
        <w:spacing w:after="0" w:line="240" w:lineRule="auto"/>
        <w:ind w:right="14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регистрации перед началом соревнования участнику необходимо предоставить идентификационный номер в базе Российской шахматной Федерации, если он имеется.</w:t>
      </w:r>
    </w:p>
    <w:p>
      <w:pPr>
        <w:spacing w:after="0" w:line="240" w:lineRule="auto"/>
        <w:ind w:right="14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Турнир проводится с обсчетом рейтинга Российской шахматной Федерации,</w:t>
      </w:r>
    </w:p>
    <w:p>
      <w:pPr>
        <w:spacing w:after="0" w:line="240" w:lineRule="auto"/>
        <w:ind w:right="14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жеребьевке используется компьютерная программа </w:t>
      </w:r>
      <w:r>
        <w:rPr>
          <w:rFonts w:ascii="Times New Roman" w:hAnsi="Times New Roman" w:cs="Times New Roman"/>
          <w:sz w:val="24"/>
          <w:szCs w:val="24"/>
          <w:lang w:val="en-US"/>
        </w:rPr>
        <w:t>SwissMaster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1"/>
        <w:spacing w:before="0" w:beforeAutospacing="0" w:after="0" w:afterAutospacing="0"/>
        <w:ind w:firstLine="709"/>
        <w:contextualSpacing/>
        <w:jc w:val="center"/>
        <w:rPr>
          <w:rStyle w:val="10"/>
          <w:b/>
          <w:color w:val="auto"/>
          <w:sz w:val="24"/>
          <w:szCs w:val="24"/>
        </w:rPr>
      </w:pPr>
      <w:bookmarkStart w:id="4" w:name="_Toc134781889"/>
      <w:bookmarkStart w:id="5" w:name="_Toc150534690"/>
    </w:p>
    <w:p>
      <w:pPr>
        <w:pStyle w:val="1"/>
        <w:spacing w:before="0" w:beforeAutospacing="0" w:after="0" w:afterAutospacing="0"/>
        <w:ind w:firstLine="709"/>
        <w:contextualSpacing/>
        <w:jc w:val="center"/>
        <w:rPr>
          <w:rStyle w:val="10"/>
          <w:b/>
          <w:color w:val="auto"/>
          <w:sz w:val="24"/>
          <w:szCs w:val="24"/>
        </w:rPr>
      </w:pPr>
      <w:r>
        <w:rPr>
          <w:rStyle w:val="10"/>
          <w:b/>
          <w:color w:val="auto"/>
          <w:sz w:val="24"/>
          <w:szCs w:val="24"/>
        </w:rPr>
        <w:t>Объем и срок освоения программы</w:t>
      </w:r>
      <w:bookmarkEnd w:id="4"/>
      <w:bookmarkEnd w:id="5"/>
    </w:p>
    <w:p>
      <w:pPr>
        <w:pStyle w:val="1"/>
        <w:spacing w:before="0" w:beforeAutospacing="0" w:after="0" w:afterAutospacing="0"/>
        <w:ind w:firstLine="709"/>
        <w:contextualSpacing/>
        <w:jc w:val="both"/>
        <w:rPr>
          <w:rStyle w:val="10"/>
          <w:color w:val="auto"/>
          <w:sz w:val="24"/>
          <w:szCs w:val="24"/>
        </w:rPr>
      </w:pPr>
      <w:r>
        <w:rPr>
          <w:rStyle w:val="10"/>
          <w:color w:val="auto"/>
          <w:sz w:val="24"/>
          <w:szCs w:val="24"/>
        </w:rPr>
        <w:t>Профильная смена проводится с 03.06.2024 года по 07.06.2024 г. на базе Молодежного шахматного клуба Центра внешкольной работы «Галактика» по адресу: Гоголя -206. Режим смены 5 дней в неделю.</w:t>
      </w:r>
    </w:p>
    <w:p>
      <w:pPr>
        <w:pStyle w:val="1"/>
        <w:spacing w:before="0" w:beforeAutospacing="0" w:after="0" w:afterAutospacing="0"/>
        <w:ind w:firstLine="709"/>
        <w:contextualSpacing/>
        <w:jc w:val="both"/>
        <w:rPr>
          <w:rStyle w:val="10"/>
          <w:color w:val="auto"/>
          <w:sz w:val="24"/>
          <w:szCs w:val="24"/>
        </w:rPr>
      </w:pPr>
      <w:r>
        <w:rPr>
          <w:rStyle w:val="10"/>
          <w:color w:val="auto"/>
          <w:sz w:val="24"/>
          <w:szCs w:val="24"/>
        </w:rPr>
        <w:t>Турнир «А» - 4 дня по 4 часа, пятый день – 3 часа. Всего 19 часов. Количество участников – 40 человек.</w:t>
      </w:r>
    </w:p>
    <w:p>
      <w:pPr>
        <w:pStyle w:val="1"/>
        <w:spacing w:before="0" w:beforeAutospacing="0" w:after="0" w:afterAutospacing="0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rStyle w:val="10"/>
          <w:color w:val="auto"/>
          <w:sz w:val="24"/>
          <w:szCs w:val="24"/>
        </w:rPr>
        <w:t>Турнир «В» - 4 дня по 4 часа, пятый день – 3 часа. Всего 19 часов.</w:t>
      </w:r>
      <w:bookmarkStart w:id="6" w:name="_Toc483840672"/>
      <w:r>
        <w:rPr>
          <w:rStyle w:val="10"/>
          <w:color w:val="auto"/>
          <w:sz w:val="24"/>
          <w:szCs w:val="24"/>
        </w:rPr>
        <w:t xml:space="preserve"> Количество участников – 20 человек.</w:t>
      </w:r>
    </w:p>
    <w:p>
      <w:pPr>
        <w:pStyle w:val="Default"/>
        <w:ind w:firstLine="709"/>
        <w:contextualSpacing/>
        <w:jc w:val="both"/>
        <w:rPr>
          <w:iCs/>
        </w:rPr>
      </w:pPr>
      <w:r>
        <w:rPr>
          <w:iCs/>
        </w:rPr>
        <w:t xml:space="preserve">Объем программы – 38 часов. </w:t>
      </w:r>
    </w:p>
    <w:p>
      <w:pPr>
        <w:pStyle w:val="Default"/>
        <w:ind w:firstLine="709"/>
        <w:contextualSpacing/>
        <w:jc w:val="both"/>
        <w:rPr>
          <w:iCs/>
        </w:rPr>
      </w:pPr>
    </w:p>
    <w:p>
      <w:pPr>
        <w:pStyle w:val="Default"/>
        <w:ind w:firstLine="709"/>
        <w:contextualSpacing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Цели и задачи</w:t>
      </w:r>
    </w:p>
    <w:p>
      <w:pPr>
        <w:pStyle w:val="Default"/>
        <w:ind w:firstLine="709"/>
        <w:contextualSpacing/>
        <w:rPr>
          <w:iCs/>
        </w:rPr>
      </w:pPr>
      <w:r>
        <w:rPr>
          <w:iCs/>
        </w:rPr>
        <w:t xml:space="preserve">Цель – популяризация шахмат и повышение уровня подготовки спортивного мастерства юных шахматистов. </w:t>
      </w:r>
    </w:p>
    <w:p>
      <w:pPr>
        <w:pStyle w:val="Default"/>
        <w:ind w:firstLine="709"/>
        <w:contextualSpacing/>
        <w:rPr>
          <w:iCs/>
        </w:rPr>
      </w:pPr>
      <w:r>
        <w:rPr>
          <w:iCs/>
        </w:rPr>
        <w:t>Задачи:</w:t>
      </w:r>
    </w:p>
    <w:p>
      <w:pPr>
        <w:pStyle w:val="Default"/>
        <w:numPr>
          <w:ilvl w:val="0"/>
          <w:numId w:val="25"/>
        </w:numPr>
        <w:contextualSpacing/>
      </w:pPr>
      <w:r>
        <w:t>совершенствовать уровень шахматной игры юных шахматистов;</w:t>
      </w:r>
    </w:p>
    <w:p>
      <w:pPr>
        <w:pStyle w:val="Default"/>
        <w:numPr>
          <w:ilvl w:val="0"/>
          <w:numId w:val="25"/>
        </w:numPr>
        <w:contextualSpacing/>
      </w:pPr>
      <w:r>
        <w:t>совершенствовать навык анализа партии свои и соперника;</w:t>
      </w:r>
    </w:p>
    <w:p>
      <w:pPr>
        <w:pStyle w:val="Default"/>
        <w:numPr>
          <w:ilvl w:val="0"/>
          <w:numId w:val="25"/>
        </w:numPr>
        <w:contextualSpacing/>
      </w:pPr>
      <w:r>
        <w:t>повышение спортивного рейтинга участников соревнования;</w:t>
      </w:r>
    </w:p>
    <w:p>
      <w:pPr>
        <w:pStyle w:val="Default"/>
        <w:numPr>
          <w:ilvl w:val="0"/>
          <w:numId w:val="25"/>
        </w:numPr>
        <w:contextualSpacing/>
      </w:pPr>
      <w:r>
        <w:t>воспитание нравственных качеств молодых спортсменов</w:t>
      </w:r>
    </w:p>
    <w:p>
      <w:pPr>
        <w:pStyle w:val="Default"/>
        <w:ind w:left="720"/>
        <w:contextualSpacing/>
        <w:jc w:val="center"/>
      </w:pPr>
    </w:p>
    <w:p>
      <w:pPr>
        <w:pStyle w:val="Default"/>
        <w:ind w:left="720"/>
        <w:contextualSpacing/>
        <w:jc w:val="center"/>
        <w:rPr>
          <w:b/>
        </w:rPr>
      </w:pPr>
      <w:r>
        <w:rPr>
          <w:b/>
        </w:rPr>
        <w:t>Содержание профильной смены</w:t>
      </w:r>
      <w:bookmarkEnd w:id="2"/>
      <w:bookmarkEnd w:id="6"/>
    </w:p>
    <w:p>
      <w:pPr>
        <w:pStyle w:val="Default"/>
        <w:ind w:left="-142" w:firstLine="142"/>
        <w:contextualSpacing/>
        <w:jc w:val="both"/>
      </w:pPr>
      <w:r>
        <w:tab/>
        <w:t>Летняя профильная смена «Шахматное лето» проводится в течение 5 дней, включает в себя торжественное открытие турнира и в дальнейшем два тура в день, как для турнира «А», так и для турнира «В». В последний день: один тур, подведение итогов и торжественное закрытие шахматного соревнования.</w:t>
      </w:r>
    </w:p>
    <w:p>
      <w:pPr>
        <w:pStyle w:val="Default"/>
        <w:ind w:left="-142" w:firstLine="142"/>
        <w:contextualSpacing/>
        <w:jc w:val="center"/>
        <w:rPr>
          <w:b/>
        </w:rPr>
      </w:pPr>
      <w:r>
        <w:rPr>
          <w:b/>
        </w:rPr>
        <w:t>Ожидаемые результаты</w:t>
      </w:r>
    </w:p>
    <w:p>
      <w:pPr>
        <w:pStyle w:val="Default"/>
        <w:ind w:left="-142" w:firstLine="142"/>
        <w:contextualSpacing/>
        <w:jc w:val="both"/>
      </w:pPr>
      <w:r>
        <w:t>К концу освоения программы летней профильной смены участники:</w:t>
      </w:r>
    </w:p>
    <w:p>
      <w:pPr>
        <w:pStyle w:val="Default"/>
        <w:numPr>
          <w:ilvl w:val="0"/>
          <w:numId w:val="26"/>
        </w:numPr>
        <w:contextualSpacing/>
        <w:jc w:val="both"/>
      </w:pPr>
      <w:r>
        <w:t>повысят свой уровень шахматной игры;</w:t>
      </w:r>
    </w:p>
    <w:p>
      <w:pPr>
        <w:pStyle w:val="Default"/>
        <w:numPr>
          <w:ilvl w:val="0"/>
          <w:numId w:val="26"/>
        </w:numPr>
        <w:contextualSpacing/>
        <w:jc w:val="both"/>
      </w:pPr>
      <w:r>
        <w:t>повысят навыки анализа шахматных партий;</w:t>
      </w:r>
    </w:p>
    <w:p>
      <w:pPr>
        <w:pStyle w:val="Default"/>
        <w:numPr>
          <w:ilvl w:val="0"/>
          <w:numId w:val="26"/>
        </w:numPr>
        <w:contextualSpacing/>
        <w:jc w:val="both"/>
        <w:rPr>
          <w:color w:val="auto"/>
        </w:rPr>
      </w:pPr>
      <w:r>
        <w:rPr>
          <w:color w:val="auto"/>
        </w:rPr>
        <w:t>проявляют нравственные качества молодых спортсменов;</w:t>
      </w:r>
    </w:p>
    <w:p>
      <w:pPr>
        <w:pStyle w:val="Default"/>
        <w:numPr>
          <w:ilvl w:val="0"/>
          <w:numId w:val="26"/>
        </w:numPr>
        <w:contextualSpacing/>
        <w:jc w:val="both"/>
      </w:pPr>
      <w:r>
        <w:rPr>
          <w:color w:val="auto"/>
        </w:rPr>
        <w:t>замотивир</w:t>
      </w:r>
      <w:r>
        <w:t>ованы к игре в шахматы;</w:t>
      </w:r>
    </w:p>
    <w:p>
      <w:pPr>
        <w:pStyle w:val="Default"/>
        <w:numPr>
          <w:ilvl w:val="0"/>
          <w:numId w:val="26"/>
        </w:numPr>
        <w:contextualSpacing/>
        <w:jc w:val="both"/>
      </w:pPr>
      <w:r>
        <w:t xml:space="preserve">повысят свой спортивный рейтинг. </w:t>
      </w:r>
    </w:p>
    <w:p>
      <w:pPr>
        <w:pStyle w:val="Default"/>
        <w:ind w:left="720"/>
        <w:contextualSpacing/>
        <w:jc w:val="both"/>
      </w:pPr>
    </w:p>
    <w:p>
      <w:pPr>
        <w:pStyle w:val="Default"/>
        <w:ind w:left="720"/>
        <w:contextualSpacing/>
        <w:jc w:val="center"/>
        <w:rPr>
          <w:b/>
        </w:rPr>
      </w:pPr>
      <w:r>
        <w:rPr>
          <w:b/>
        </w:rPr>
        <w:t>Ресурсное обеспечение смены</w:t>
      </w:r>
    </w:p>
    <w:p>
      <w:pPr>
        <w:pStyle w:val="Default"/>
        <w:contextualSpacing/>
        <w:jc w:val="both"/>
      </w:pPr>
      <w:r>
        <w:rPr>
          <w:b/>
          <w:i/>
        </w:rPr>
        <w:t xml:space="preserve">Материально-техническое обеспечение: </w:t>
      </w:r>
      <w:r>
        <w:t>профильная смена «Шахматное лето» проводится в г. Новосибирске на базе Молодежного шахматного клуба МБУДО ЦВР «Галактика» (Гоголя-206).</w:t>
      </w:r>
    </w:p>
    <w:p>
      <w:pPr>
        <w:pStyle w:val="Default"/>
        <w:numPr>
          <w:ilvl w:val="0"/>
          <w:numId w:val="27"/>
        </w:numPr>
        <w:contextualSpacing/>
        <w:jc w:val="both"/>
      </w:pPr>
      <w:r>
        <w:t xml:space="preserve">Два кабинета, оснащенные необходимым спортивным инвентарем: </w:t>
      </w:r>
    </w:p>
    <w:p>
      <w:pPr>
        <w:pStyle w:val="Default"/>
        <w:ind w:left="720"/>
        <w:contextualSpacing/>
        <w:jc w:val="both"/>
      </w:pPr>
      <w:r>
        <w:t xml:space="preserve">для учащихся - шахматные столы, стулья, шахматы, шахматные часы, таблицы для записи шахматной партии, ручка; </w:t>
      </w:r>
    </w:p>
    <w:p>
      <w:pPr>
        <w:pStyle w:val="Default"/>
        <w:ind w:left="720"/>
        <w:contextualSpacing/>
        <w:jc w:val="both"/>
      </w:pPr>
      <w:r>
        <w:t xml:space="preserve">Для педагога: турнирные таблицы, компьютер с компьютерной программой </w:t>
      </w:r>
      <w:r>
        <w:rPr>
          <w:lang w:val="en-US"/>
        </w:rPr>
        <w:t>SwissMaster</w:t>
      </w:r>
      <w:r>
        <w:t>.</w:t>
      </w:r>
    </w:p>
    <w:p>
      <w:pPr>
        <w:pStyle w:val="Default"/>
        <w:numPr>
          <w:ilvl w:val="0"/>
          <w:numId w:val="27"/>
        </w:numPr>
        <w:contextualSpacing/>
        <w:jc w:val="both"/>
      </w:pPr>
      <w:r>
        <w:t>Один кабинет (для отдыха шахматистов, анализа партий), оснащен шахматами, столами, стульями.</w:t>
      </w:r>
    </w:p>
    <w:p>
      <w:pPr>
        <w:pStyle w:val="Default"/>
        <w:ind w:left="720" w:hanging="720"/>
        <w:contextualSpacing/>
        <w:jc w:val="both"/>
      </w:pPr>
      <w:r>
        <w:rPr>
          <w:b/>
          <w:i/>
        </w:rPr>
        <w:t xml:space="preserve">Кадровое обеспечение: </w:t>
      </w:r>
      <w:r>
        <w:t>педагоги дополнительного образования МБУДО ЦВР «Галактика», возможно приглашение в качестве судей педагогов из других образовательных учреждений.</w:t>
      </w:r>
    </w:p>
    <w:p>
      <w:pPr>
        <w:pStyle w:val="Default"/>
        <w:ind w:left="720" w:hanging="720"/>
        <w:contextualSpacing/>
        <w:jc w:val="both"/>
        <w:rPr>
          <w:b/>
          <w:i/>
        </w:rPr>
      </w:pPr>
      <w:r>
        <w:rPr>
          <w:b/>
          <w:i/>
        </w:rPr>
        <w:t>Информационно- методическое обеспечение:</w:t>
      </w:r>
    </w:p>
    <w:p>
      <w:pPr>
        <w:pStyle w:val="Default"/>
        <w:numPr>
          <w:ilvl w:val="0"/>
          <w:numId w:val="27"/>
        </w:numPr>
        <w:ind w:hanging="294"/>
        <w:contextualSpacing/>
        <w:jc w:val="both"/>
      </w:pPr>
      <w:r>
        <w:t xml:space="preserve">для проведения жеребьевки соревнования судья использует компьютерную программу </w:t>
      </w:r>
      <w:r>
        <w:rPr>
          <w:lang w:val="en-US"/>
        </w:rPr>
        <w:t>SwissMaster</w:t>
      </w:r>
      <w:r>
        <w:t>.</w:t>
      </w:r>
    </w:p>
    <w:p>
      <w:pPr>
        <w:pStyle w:val="Default"/>
        <w:numPr>
          <w:ilvl w:val="0"/>
          <w:numId w:val="27"/>
        </w:numPr>
        <w:contextualSpacing/>
        <w:jc w:val="both"/>
      </w:pPr>
      <w:r>
        <w:lastRenderedPageBreak/>
        <w:t>информационно сопровождение смены осуществляется в социальной сети ВКонтакте.</w:t>
      </w:r>
    </w:p>
    <w:p>
      <w:pPr>
        <w:pStyle w:val="Default"/>
        <w:ind w:left="720" w:hanging="436"/>
        <w:contextualSpacing/>
        <w:jc w:val="both"/>
      </w:pPr>
      <w:r>
        <w:rPr>
          <w:b/>
          <w:i/>
        </w:rPr>
        <w:t xml:space="preserve">Финансовое обеспечение: </w:t>
      </w:r>
      <w:r>
        <w:t>осуществляется за счет средств МБУДО ЦВР «Галактика»</w:t>
      </w:r>
    </w:p>
    <w:p>
      <w:pPr>
        <w:pStyle w:val="Default"/>
        <w:ind w:left="720" w:hanging="436"/>
        <w:contextualSpacing/>
        <w:jc w:val="center"/>
        <w:rPr>
          <w:b/>
        </w:rPr>
      </w:pPr>
    </w:p>
    <w:p>
      <w:pPr>
        <w:pStyle w:val="Default"/>
        <w:ind w:left="720" w:hanging="436"/>
        <w:contextualSpacing/>
        <w:jc w:val="right"/>
        <w:rPr>
          <w:b/>
          <w:i/>
        </w:rPr>
      </w:pPr>
      <w:r>
        <w:rPr>
          <w:b/>
          <w:i/>
        </w:rPr>
        <w:t>Приложение 1</w:t>
      </w:r>
    </w:p>
    <w:p>
      <w:pPr>
        <w:pStyle w:val="Default"/>
        <w:ind w:left="720" w:hanging="436"/>
        <w:contextualSpacing/>
        <w:jc w:val="center"/>
        <w:rPr>
          <w:b/>
        </w:rPr>
      </w:pPr>
      <w:r>
        <w:rPr>
          <w:b/>
        </w:rPr>
        <w:t>ПЛАН ПРОВЕДЕНИЯ СМЕНЫ</w:t>
      </w:r>
    </w:p>
    <w:tbl>
      <w:tblPr>
        <w:tblStyle w:val="aa"/>
        <w:tblW w:w="9923" w:type="dxa"/>
        <w:tblInd w:w="-34" w:type="dxa"/>
        <w:tblLook w:val="04A0" w:firstRow="1" w:lastRow="0" w:firstColumn="1" w:lastColumn="0" w:noHBand="0" w:noVBand="1"/>
      </w:tblPr>
      <w:tblGrid>
        <w:gridCol w:w="1985"/>
        <w:gridCol w:w="3431"/>
        <w:gridCol w:w="2156"/>
        <w:gridCol w:w="2351"/>
      </w:tblGrid>
      <w:tr>
        <w:tc>
          <w:tcPr>
            <w:tcW w:w="1985" w:type="dxa"/>
          </w:tcPr>
          <w:p>
            <w:pPr>
              <w:pStyle w:val="Default"/>
              <w:contextualSpacing/>
              <w:jc w:val="center"/>
            </w:pPr>
            <w:r>
              <w:t>Дата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center"/>
            </w:pPr>
            <w:r>
              <w:t>Вид деятельности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Время проведения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  <w:jc w:val="center"/>
            </w:pPr>
            <w:r>
              <w:t>Ответственный</w:t>
            </w:r>
          </w:p>
        </w:tc>
      </w:tr>
      <w:tr>
        <w:tc>
          <w:tcPr>
            <w:tcW w:w="1985" w:type="dxa"/>
            <w:vMerge w:val="restart"/>
          </w:tcPr>
          <w:p>
            <w:pPr>
              <w:pStyle w:val="Default"/>
              <w:contextualSpacing/>
              <w:jc w:val="center"/>
            </w:pPr>
            <w:r>
              <w:t>03.06.2024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10.00-12.00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12.00-14.00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14.00-16.00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16.00-18.00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 w:val="restart"/>
          </w:tcPr>
          <w:p>
            <w:pPr>
              <w:pStyle w:val="Default"/>
              <w:contextualSpacing/>
              <w:jc w:val="center"/>
            </w:pPr>
            <w:r>
              <w:t>04.06.2024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10.00-12.00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12.00-14.00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14.00-16.00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16.00-18.00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 w:val="restart"/>
          </w:tcPr>
          <w:p>
            <w:pPr>
              <w:pStyle w:val="Default"/>
              <w:contextualSpacing/>
              <w:jc w:val="center"/>
            </w:pPr>
            <w:r>
              <w:t>05.06.2024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10.00-12.00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12.00-14.00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14.00-16.00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16.00-18.00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 w:val="restart"/>
          </w:tcPr>
          <w:p>
            <w:pPr>
              <w:pStyle w:val="Default"/>
              <w:contextualSpacing/>
              <w:jc w:val="center"/>
            </w:pPr>
            <w:r>
              <w:t>06.06.2024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10.00-12.00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12.00-14.00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14.00-16.00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rPr>
          <w:trHeight w:val="217"/>
        </w:trP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второй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16.00-18.00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 w:val="restart"/>
          </w:tcPr>
          <w:p>
            <w:pPr>
              <w:pStyle w:val="Default"/>
              <w:contextualSpacing/>
              <w:jc w:val="center"/>
            </w:pPr>
            <w:r>
              <w:t>07.06.2024</w:t>
            </w: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10.00-12.00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«А» подведение итогов, торжественное закрытие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12.00-13.00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  <w:p>
            <w:pPr>
              <w:pStyle w:val="Default"/>
              <w:contextualSpacing/>
            </w:pP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- первый тур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13.00-15.00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</w:tc>
      </w:tr>
      <w:tr>
        <w:tc>
          <w:tcPr>
            <w:tcW w:w="1985" w:type="dxa"/>
            <w:vMerge/>
          </w:tcPr>
          <w:p>
            <w:pPr>
              <w:pStyle w:val="Default"/>
              <w:contextualSpacing/>
              <w:jc w:val="center"/>
            </w:pPr>
          </w:p>
        </w:tc>
        <w:tc>
          <w:tcPr>
            <w:tcW w:w="3431" w:type="dxa"/>
          </w:tcPr>
          <w:p>
            <w:pPr>
              <w:pStyle w:val="Default"/>
              <w:contextualSpacing/>
              <w:jc w:val="both"/>
            </w:pPr>
            <w:r>
              <w:t>Турнир «В» подведение итогов, торжественное закрытие соревнования</w:t>
            </w:r>
          </w:p>
        </w:tc>
        <w:tc>
          <w:tcPr>
            <w:tcW w:w="2156" w:type="dxa"/>
          </w:tcPr>
          <w:p>
            <w:pPr>
              <w:pStyle w:val="Default"/>
              <w:contextualSpacing/>
              <w:jc w:val="center"/>
            </w:pPr>
            <w:r>
              <w:t>15.00-16.00</w:t>
            </w:r>
          </w:p>
        </w:tc>
        <w:tc>
          <w:tcPr>
            <w:tcW w:w="2351" w:type="dxa"/>
          </w:tcPr>
          <w:p>
            <w:pPr>
              <w:pStyle w:val="Default"/>
              <w:contextualSpacing/>
            </w:pPr>
            <w:r>
              <w:t>Шмаков В.Ю.</w:t>
            </w:r>
          </w:p>
          <w:p>
            <w:pPr>
              <w:pStyle w:val="Default"/>
              <w:contextualSpacing/>
            </w:pPr>
            <w:r>
              <w:t>Груздова И.В</w:t>
            </w:r>
          </w:p>
          <w:p>
            <w:pPr>
              <w:pStyle w:val="Default"/>
              <w:contextualSpacing/>
            </w:pPr>
          </w:p>
        </w:tc>
      </w:tr>
    </w:tbl>
    <w:p>
      <w:pPr>
        <w:pStyle w:val="Default"/>
        <w:ind w:left="720" w:hanging="436"/>
        <w:contextualSpacing/>
        <w:jc w:val="center"/>
      </w:pPr>
    </w:p>
    <w:p>
      <w:pPr>
        <w:pStyle w:val="Default"/>
        <w:ind w:left="720" w:hanging="436"/>
        <w:contextualSpacing/>
        <w:jc w:val="right"/>
        <w:rPr>
          <w:b/>
          <w:i/>
        </w:rPr>
      </w:pPr>
    </w:p>
    <w:p>
      <w:pPr>
        <w:pStyle w:val="Default"/>
        <w:ind w:left="720" w:hanging="436"/>
        <w:contextualSpacing/>
        <w:jc w:val="right"/>
        <w:rPr>
          <w:b/>
          <w:i/>
        </w:rPr>
      </w:pPr>
    </w:p>
    <w:p>
      <w:pPr>
        <w:pStyle w:val="Default"/>
        <w:ind w:left="720" w:hanging="436"/>
        <w:contextualSpacing/>
        <w:jc w:val="right"/>
        <w:rPr>
          <w:b/>
          <w:i/>
        </w:rPr>
      </w:pPr>
      <w:r>
        <w:rPr>
          <w:b/>
          <w:i/>
        </w:rPr>
        <w:lastRenderedPageBreak/>
        <w:t>Приложение 2</w:t>
      </w:r>
    </w:p>
    <w:p>
      <w:pPr>
        <w:spacing w:after="0" w:line="240" w:lineRule="auto"/>
        <w:ind w:left="10" w:hanging="10"/>
        <w:contextualSpacing/>
        <w:jc w:val="center"/>
        <w:rPr>
          <w:rFonts w:ascii="Times New Roman" w:eastAsia="Calibri" w:hAnsi="Times New Roman" w:cs="Calibri"/>
          <w:b/>
          <w:i/>
          <w:color w:val="000000"/>
          <w:sz w:val="28"/>
        </w:rPr>
      </w:pPr>
      <w:r>
        <w:rPr>
          <w:rFonts w:ascii="Times New Roman" w:eastAsia="Calibri" w:hAnsi="Times New Roman" w:cs="Calibri"/>
          <w:b/>
          <w:i/>
          <w:color w:val="000000"/>
          <w:sz w:val="28"/>
        </w:rPr>
        <w:t>Смета расходов с финансовым обоснованием</w:t>
      </w:r>
    </w:p>
    <w:p>
      <w:pPr>
        <w:spacing w:after="0" w:line="240" w:lineRule="auto"/>
        <w:ind w:left="10" w:hanging="10"/>
        <w:contextualSpacing/>
        <w:jc w:val="center"/>
        <w:rPr>
          <w:rFonts w:ascii="Times New Roman" w:eastAsia="Calibri" w:hAnsi="Times New Roman" w:cs="Calibri"/>
          <w:b/>
          <w:i/>
          <w:color w:val="000000"/>
          <w:sz w:val="28"/>
        </w:rPr>
      </w:pPr>
    </w:p>
    <w:tbl>
      <w:tblPr>
        <w:tblStyle w:val="120"/>
        <w:tblW w:w="938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5"/>
        <w:gridCol w:w="1842"/>
        <w:gridCol w:w="2694"/>
        <w:gridCol w:w="1559"/>
        <w:gridCol w:w="1417"/>
        <w:gridCol w:w="1419"/>
      </w:tblGrid>
      <w:tr>
        <w:tc>
          <w:tcPr>
            <w:tcW w:w="455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42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 xml:space="preserve">Вид </w:t>
            </w:r>
          </w:p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деятельности</w:t>
            </w:r>
          </w:p>
        </w:tc>
        <w:tc>
          <w:tcPr>
            <w:tcW w:w="2694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Материально-технические средства</w:t>
            </w:r>
          </w:p>
        </w:tc>
        <w:tc>
          <w:tcPr>
            <w:tcW w:w="1559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Количество единиц</w:t>
            </w:r>
          </w:p>
        </w:tc>
        <w:tc>
          <w:tcPr>
            <w:tcW w:w="1417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Стоимость за штуку (руб.)</w:t>
            </w:r>
          </w:p>
        </w:tc>
        <w:tc>
          <w:tcPr>
            <w:tcW w:w="1419" w:type="dxa"/>
          </w:tcPr>
          <w:p>
            <w:pPr>
              <w:spacing w:after="3" w:line="252" w:lineRule="auto"/>
              <w:ind w:left="10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Итоговая стоимость (руб.)</w:t>
            </w:r>
          </w:p>
        </w:tc>
      </w:tr>
      <w:tr>
        <w:tc>
          <w:tcPr>
            <w:tcW w:w="455" w:type="dxa"/>
          </w:tcPr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1.</w:t>
            </w:r>
          </w:p>
          <w:p>
            <w:pPr>
              <w:ind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</w:tcPr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Проведение турниров, анализ партий</w:t>
            </w:r>
          </w:p>
        </w:tc>
        <w:tc>
          <w:tcPr>
            <w:tcW w:w="2694" w:type="dxa"/>
          </w:tcPr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Ноутбук</w:t>
            </w:r>
          </w:p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Принтер </w:t>
            </w:r>
          </w:p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Фотобумага для дипломов</w:t>
            </w:r>
          </w:p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Шахматы</w:t>
            </w:r>
          </w:p>
          <w:p>
            <w:pPr>
              <w:ind w:left="10" w:hanging="1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Часы шахматные</w:t>
            </w:r>
          </w:p>
        </w:tc>
        <w:tc>
          <w:tcPr>
            <w:tcW w:w="1559" w:type="dxa"/>
          </w:tcPr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 шт.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 шт.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 шт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20 шт.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16 шт</w:t>
            </w:r>
          </w:p>
        </w:tc>
        <w:tc>
          <w:tcPr>
            <w:tcW w:w="1417" w:type="dxa"/>
          </w:tcPr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 наличии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 наличии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300 руб.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 наличии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 наличии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 наличии</w:t>
            </w:r>
          </w:p>
        </w:tc>
        <w:tc>
          <w:tcPr>
            <w:tcW w:w="1419" w:type="dxa"/>
          </w:tcPr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300 руб.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  <w:p>
            <w:pPr>
              <w:ind w:left="10" w:hanging="1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>
        <w:tc>
          <w:tcPr>
            <w:tcW w:w="4991" w:type="dxa"/>
            <w:gridSpan w:val="3"/>
          </w:tcPr>
          <w:p>
            <w:pPr>
              <w:spacing w:line="252" w:lineRule="auto"/>
              <w:ind w:left="10" w:hanging="10"/>
              <w:jc w:val="right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59" w:type="dxa"/>
          </w:tcPr>
          <w:p>
            <w:pPr>
              <w:spacing w:line="252" w:lineRule="auto"/>
              <w:ind w:left="10" w:hanging="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>
            <w:pPr>
              <w:spacing w:line="252" w:lineRule="auto"/>
              <w:ind w:left="10" w:hanging="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</w:tcPr>
          <w:p>
            <w:pPr>
              <w:spacing w:line="252" w:lineRule="auto"/>
              <w:ind w:left="10" w:hanging="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</w:pPr>
    </w:p>
    <w:p>
      <w:pPr>
        <w:pStyle w:val="Default"/>
        <w:ind w:left="720" w:hanging="436"/>
        <w:contextualSpacing/>
        <w:jc w:val="right"/>
        <w:rPr>
          <w:b/>
          <w:i/>
        </w:rPr>
      </w:pPr>
      <w:r>
        <w:rPr>
          <w:b/>
          <w:i/>
        </w:rPr>
        <w:t>Приложение 3</w:t>
      </w:r>
    </w:p>
    <w:p>
      <w:pPr>
        <w:pStyle w:val="Default"/>
        <w:ind w:left="720" w:hanging="436"/>
        <w:contextualSpacing/>
        <w:jc w:val="right"/>
        <w:rPr>
          <w:b/>
          <w:i/>
        </w:rPr>
      </w:pPr>
    </w:p>
    <w:sectPr>
      <w:footerReference w:type="default" r:id="rId9"/>
      <w:pgSz w:w="11906" w:h="16838"/>
      <w:pgMar w:top="851" w:right="851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8584173"/>
    </w:sdtPr>
    <w:sdtContent>
      <w:p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07567"/>
    <w:multiLevelType w:val="multilevel"/>
    <w:tmpl w:val="8AB6E4A8"/>
    <w:styleLink w:val="WWNum22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164D85"/>
    <w:multiLevelType w:val="multilevel"/>
    <w:tmpl w:val="5D6C94F8"/>
    <w:styleLink w:val="WWNum1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FAF545C"/>
    <w:multiLevelType w:val="hybridMultilevel"/>
    <w:tmpl w:val="640ECD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DE24D8"/>
    <w:multiLevelType w:val="multilevel"/>
    <w:tmpl w:val="600E895E"/>
    <w:styleLink w:val="WWNum16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A4A48C9"/>
    <w:multiLevelType w:val="hybridMultilevel"/>
    <w:tmpl w:val="12384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F6DEB"/>
    <w:multiLevelType w:val="multilevel"/>
    <w:tmpl w:val="4DA41C2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B4466"/>
    <w:multiLevelType w:val="multilevel"/>
    <w:tmpl w:val="A1E2F0EA"/>
    <w:styleLink w:val="WWNum21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3980525"/>
    <w:multiLevelType w:val="multilevel"/>
    <w:tmpl w:val="3606EEFE"/>
    <w:styleLink w:val="WWNum15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5C74F38"/>
    <w:multiLevelType w:val="multilevel"/>
    <w:tmpl w:val="9FAAD77E"/>
    <w:styleLink w:val="WWNum19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79479D6"/>
    <w:multiLevelType w:val="multilevel"/>
    <w:tmpl w:val="C52A6B3E"/>
    <w:styleLink w:val="WWNum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294925"/>
    <w:multiLevelType w:val="hybridMultilevel"/>
    <w:tmpl w:val="11AEC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312A5"/>
    <w:multiLevelType w:val="multilevel"/>
    <w:tmpl w:val="E65289E4"/>
    <w:styleLink w:val="WWNum13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AEF3020"/>
    <w:multiLevelType w:val="multilevel"/>
    <w:tmpl w:val="126639F2"/>
    <w:styleLink w:val="WWNum20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B32217C"/>
    <w:multiLevelType w:val="multilevel"/>
    <w:tmpl w:val="72C8C67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7B45BA"/>
    <w:multiLevelType w:val="multilevel"/>
    <w:tmpl w:val="58205F10"/>
    <w:styleLink w:val="WWNum1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14006C6"/>
    <w:multiLevelType w:val="multilevel"/>
    <w:tmpl w:val="3034AE38"/>
    <w:styleLink w:val="WWNum1"/>
    <w:lvl w:ilvl="0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2CB33E2"/>
    <w:multiLevelType w:val="multilevel"/>
    <w:tmpl w:val="31A4F1AC"/>
    <w:styleLink w:val="WWNum17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4CE1F56"/>
    <w:multiLevelType w:val="multilevel"/>
    <w:tmpl w:val="97C61830"/>
    <w:styleLink w:val="WWNum9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659696B"/>
    <w:multiLevelType w:val="multilevel"/>
    <w:tmpl w:val="DA9ADB1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C52031"/>
    <w:multiLevelType w:val="multilevel"/>
    <w:tmpl w:val="4B6A88D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284F7A"/>
    <w:multiLevelType w:val="multilevel"/>
    <w:tmpl w:val="6D7A7144"/>
    <w:styleLink w:val="WWNum11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D7F0BC0"/>
    <w:multiLevelType w:val="multilevel"/>
    <w:tmpl w:val="D062F796"/>
    <w:styleLink w:val="WWNum23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3405F99"/>
    <w:multiLevelType w:val="multilevel"/>
    <w:tmpl w:val="8BA6E4CA"/>
    <w:styleLink w:val="WWNum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A7693F"/>
    <w:multiLevelType w:val="multilevel"/>
    <w:tmpl w:val="A83A3EEC"/>
    <w:styleLink w:val="WWNum2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E6E522F"/>
    <w:multiLevelType w:val="multilevel"/>
    <w:tmpl w:val="39C0F7C8"/>
    <w:styleLink w:val="WWNum1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FBA7A17"/>
    <w:multiLevelType w:val="hybridMultilevel"/>
    <w:tmpl w:val="F7CCD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D33C80"/>
    <w:multiLevelType w:val="multilevel"/>
    <w:tmpl w:val="81FACD7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9F2FF2"/>
    <w:multiLevelType w:val="multilevel"/>
    <w:tmpl w:val="26748B4E"/>
    <w:styleLink w:val="WWNum3"/>
    <w:lvl w:ilvl="0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24"/>
  </w:num>
  <w:num w:numId="23">
    <w:abstractNumId w:val="26"/>
  </w:num>
  <w:num w:numId="24">
    <w:abstractNumId w:val="27"/>
  </w:num>
  <w:num w:numId="25">
    <w:abstractNumId w:val="4"/>
  </w:num>
  <w:num w:numId="26">
    <w:abstractNumId w:val="10"/>
  </w:num>
  <w:num w:numId="27">
    <w:abstractNumId w:val="25"/>
  </w:num>
  <w:num w:numId="28">
    <w:abstractNumId w:val="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23E8E5-00B4-47C5-A2C2-AB82A582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1F4666"/>
      <w:kern w:val="36"/>
      <w:sz w:val="23"/>
      <w:szCs w:val="2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lang w:eastAsia="ja-JP"/>
    </w:rPr>
  </w:style>
  <w:style w:type="character" w:customStyle="1" w:styleId="a7">
    <w:name w:val="Нижний колонтитул Знак"/>
    <w:basedOn w:val="a0"/>
    <w:link w:val="a6"/>
    <w:uiPriority w:val="99"/>
    <w:rPr>
      <w:rFonts w:eastAsiaTheme="minorEastAsia"/>
      <w:lang w:eastAsia="ja-JP"/>
    </w:rPr>
  </w:style>
  <w:style w:type="paragraph" w:styleId="a8">
    <w:name w:val="List Paragraph"/>
    <w:aliases w:val="заголовок 2"/>
    <w:basedOn w:val="a"/>
    <w:link w:val="a9"/>
    <w:qFormat/>
    <w:pPr>
      <w:ind w:left="720"/>
      <w:contextualSpacing/>
    </w:pPr>
  </w:style>
  <w:style w:type="table" w:styleId="aa">
    <w:name w:val="Table Grid"/>
    <w:basedOn w:val="a1"/>
    <w:uiPriority w:val="39"/>
    <w:qFormat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Pr>
      <w:rFonts w:eastAsiaTheme="minorEastAsia"/>
      <w:lang w:eastAsia="ru-RU"/>
    </w:rPr>
  </w:style>
  <w:style w:type="paragraph" w:styleId="ad">
    <w:name w:val="No Spacing"/>
    <w:link w:val="ae"/>
    <w:uiPriority w:val="1"/>
    <w:qFormat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Pr>
      <w:rFonts w:eastAsiaTheme="minorEastAsia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color w:val="1F4666"/>
      <w:kern w:val="36"/>
      <w:sz w:val="23"/>
      <w:szCs w:val="23"/>
      <w:lang w:eastAsia="ru-RU"/>
    </w:rPr>
  </w:style>
  <w:style w:type="paragraph" w:customStyle="1" w:styleId="af">
    <w:name w:val="Обычный таблица"/>
    <w:basedOn w:val="a"/>
    <w:qFormat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styleId="af0">
    <w:name w:val="Strong"/>
    <w:basedOn w:val="a0"/>
    <w:uiPriority w:val="22"/>
    <w:qFormat/>
    <w:rPr>
      <w:rFonts w:cs="Times New Roman"/>
      <w:b/>
      <w:bCs/>
    </w:rPr>
  </w:style>
  <w:style w:type="paragraph" w:styleId="af1">
    <w:name w:val="TOC Heading"/>
    <w:basedOn w:val="1"/>
    <w:next w:val="a"/>
    <w:uiPriority w:val="39"/>
    <w:semiHidden/>
    <w:unhideWhenUsed/>
    <w:qFormat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pPr>
      <w:tabs>
        <w:tab w:val="right" w:leader="dot" w:pos="9345"/>
      </w:tabs>
      <w:spacing w:after="100" w:line="360" w:lineRule="auto"/>
    </w:p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3">
    <w:name w:val="Title"/>
    <w:basedOn w:val="a"/>
    <w:link w:val="af4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40"/>
      <w:sz w:val="28"/>
      <w:szCs w:val="20"/>
    </w:rPr>
  </w:style>
  <w:style w:type="character" w:customStyle="1" w:styleId="af4">
    <w:name w:val="Заголовок Знак"/>
    <w:basedOn w:val="a0"/>
    <w:link w:val="af3"/>
    <w:rPr>
      <w:rFonts w:ascii="Times New Roman" w:eastAsia="Times New Roman" w:hAnsi="Times New Roman" w:cs="Times New Roman"/>
      <w:b/>
      <w:spacing w:val="4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40">
    <w:name w:val="c4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</w:style>
  <w:style w:type="paragraph" w:customStyle="1" w:styleId="c25">
    <w:name w:val="c2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 2 Знак"/>
    <w:link w:val="a8"/>
    <w:rPr>
      <w:rFonts w:eastAsiaTheme="minorEastAsia"/>
      <w:lang w:eastAsia="ru-RU"/>
    </w:rPr>
  </w:style>
  <w:style w:type="table" w:customStyle="1" w:styleId="12">
    <w:name w:val="Сетка таблицы1"/>
    <w:basedOn w:val="a1"/>
    <w:next w:val="aa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ody Text"/>
    <w:basedOn w:val="a"/>
    <w:link w:val="af6"/>
    <w:uiPriority w:val="1"/>
    <w:unhideWhenUsed/>
    <w:qFormat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6">
    <w:name w:val="Основной текст Знак"/>
    <w:basedOn w:val="a0"/>
    <w:link w:val="af5"/>
    <w:uiPriority w:val="1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js-item-maininfo">
    <w:name w:val="js-item-maininfo"/>
    <w:basedOn w:val="a0"/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pPr>
      <w:suppressAutoHyphens/>
      <w:autoSpaceDN w:val="0"/>
      <w:spacing w:after="160" w:line="249" w:lineRule="auto"/>
    </w:pPr>
    <w:rPr>
      <w:rFonts w:ascii="Calibri" w:eastAsia="Calibri" w:hAnsi="Calibri" w:cs="F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character" w:customStyle="1" w:styleId="ListLabel1">
    <w:name w:val="ListLabel 1"/>
    <w:rPr>
      <w:i w:val="0"/>
      <w:iCs w:val="0"/>
    </w:rPr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i w:val="0"/>
      <w:iCs w:val="0"/>
    </w:rPr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table" w:customStyle="1" w:styleId="21">
    <w:name w:val="Сетка таблицы2"/>
    <w:basedOn w:val="a1"/>
    <w:next w:val="aa"/>
    <w:uiPriority w:val="39"/>
    <w:pPr>
      <w:widowControl w:val="0"/>
      <w:autoSpaceDN w:val="0"/>
      <w:spacing w:after="0" w:line="240" w:lineRule="auto"/>
    </w:pPr>
    <w:rPr>
      <w:rFonts w:ascii="Calibri" w:eastAsia="Calibri" w:hAnsi="Calibri" w:cs="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pPr>
      <w:spacing w:after="0" w:line="240" w:lineRule="auto"/>
    </w:pPr>
    <w:rPr>
      <w:rFonts w:ascii="Calibri" w:eastAsia="Times New Roman" w:hAnsi="Calibri" w:cs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uiPriority w:val="39"/>
    <w:pPr>
      <w:spacing w:after="0" w:line="240" w:lineRule="auto"/>
    </w:pPr>
    <w:rPr>
      <w:rFonts w:ascii="Calibri" w:eastAsia="Calibri" w:hAnsi="Calibri" w:cs="Calibri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uiPriority w:val="39"/>
    <w:pPr>
      <w:spacing w:after="0" w:line="240" w:lineRule="auto"/>
    </w:pPr>
    <w:rPr>
      <w:rFonts w:ascii="Calibri" w:eastAsia="Calibri" w:hAnsi="Calibri" w:cs="Calibri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caption"/>
    <w:basedOn w:val="Standard"/>
    <w:semiHidden/>
    <w:unhideWhenUsed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8">
    <w:name w:val="List"/>
    <w:basedOn w:val="Textbody"/>
    <w:semiHidden/>
    <w:unhideWhenUsed/>
    <w:rPr>
      <w:rFonts w:cs="Lucida Sans"/>
      <w:sz w:val="24"/>
    </w:rPr>
  </w:style>
  <w:style w:type="numbering" w:customStyle="1" w:styleId="WWNum22">
    <w:name w:val="WWNum22"/>
    <w:pPr>
      <w:numPr>
        <w:numId w:val="1"/>
      </w:numPr>
    </w:pPr>
  </w:style>
  <w:style w:type="numbering" w:customStyle="1" w:styleId="WWNum18">
    <w:name w:val="WWNum18"/>
    <w:pPr>
      <w:numPr>
        <w:numId w:val="2"/>
      </w:numPr>
    </w:pPr>
  </w:style>
  <w:style w:type="numbering" w:customStyle="1" w:styleId="WWNum16">
    <w:name w:val="WWNum16"/>
    <w:pPr>
      <w:numPr>
        <w:numId w:val="3"/>
      </w:numPr>
    </w:pPr>
  </w:style>
  <w:style w:type="numbering" w:customStyle="1" w:styleId="WWNum2">
    <w:name w:val="WWNum2"/>
    <w:pPr>
      <w:numPr>
        <w:numId w:val="4"/>
      </w:numPr>
    </w:pPr>
  </w:style>
  <w:style w:type="numbering" w:customStyle="1" w:styleId="WWNum21">
    <w:name w:val="WWNum21"/>
    <w:pPr>
      <w:numPr>
        <w:numId w:val="5"/>
      </w:numPr>
    </w:pPr>
  </w:style>
  <w:style w:type="numbering" w:customStyle="1" w:styleId="WWNum15">
    <w:name w:val="WWNum15"/>
    <w:pPr>
      <w:numPr>
        <w:numId w:val="6"/>
      </w:numPr>
    </w:pPr>
  </w:style>
  <w:style w:type="numbering" w:customStyle="1" w:styleId="WWNum19">
    <w:name w:val="WWNum19"/>
    <w:pPr>
      <w:numPr>
        <w:numId w:val="7"/>
      </w:numPr>
    </w:pPr>
  </w:style>
  <w:style w:type="numbering" w:customStyle="1" w:styleId="WWNum10">
    <w:name w:val="WWNum10"/>
    <w:pPr>
      <w:numPr>
        <w:numId w:val="8"/>
      </w:numPr>
    </w:pPr>
  </w:style>
  <w:style w:type="numbering" w:customStyle="1" w:styleId="WWNum13">
    <w:name w:val="WWNum13"/>
    <w:pPr>
      <w:numPr>
        <w:numId w:val="9"/>
      </w:numPr>
    </w:pPr>
  </w:style>
  <w:style w:type="numbering" w:customStyle="1" w:styleId="WWNum20">
    <w:name w:val="WWNum20"/>
    <w:pPr>
      <w:numPr>
        <w:numId w:val="10"/>
      </w:numPr>
    </w:pPr>
  </w:style>
  <w:style w:type="numbering" w:customStyle="1" w:styleId="WWNum6">
    <w:name w:val="WWNum6"/>
    <w:pPr>
      <w:numPr>
        <w:numId w:val="11"/>
      </w:numPr>
    </w:pPr>
  </w:style>
  <w:style w:type="numbering" w:customStyle="1" w:styleId="WWNum14">
    <w:name w:val="WWNum14"/>
    <w:pPr>
      <w:numPr>
        <w:numId w:val="12"/>
      </w:numPr>
    </w:pPr>
  </w:style>
  <w:style w:type="numbering" w:customStyle="1" w:styleId="WWNum1">
    <w:name w:val="WWNum1"/>
    <w:pPr>
      <w:numPr>
        <w:numId w:val="13"/>
      </w:numPr>
    </w:pPr>
  </w:style>
  <w:style w:type="numbering" w:customStyle="1" w:styleId="WWNum17">
    <w:name w:val="WWNum17"/>
    <w:pPr>
      <w:numPr>
        <w:numId w:val="14"/>
      </w:numPr>
    </w:pPr>
  </w:style>
  <w:style w:type="numbering" w:customStyle="1" w:styleId="WWNum9">
    <w:name w:val="WWNum9"/>
    <w:pPr>
      <w:numPr>
        <w:numId w:val="15"/>
      </w:numPr>
    </w:pPr>
  </w:style>
  <w:style w:type="numbering" w:customStyle="1" w:styleId="WWNum4">
    <w:name w:val="WWNum4"/>
    <w:pPr>
      <w:numPr>
        <w:numId w:val="16"/>
      </w:numPr>
    </w:pPr>
  </w:style>
  <w:style w:type="numbering" w:customStyle="1" w:styleId="WWNum5">
    <w:name w:val="WWNum5"/>
    <w:pPr>
      <w:numPr>
        <w:numId w:val="17"/>
      </w:numPr>
    </w:pPr>
  </w:style>
  <w:style w:type="numbering" w:customStyle="1" w:styleId="WWNum11">
    <w:name w:val="WWNum11"/>
    <w:pPr>
      <w:numPr>
        <w:numId w:val="18"/>
      </w:numPr>
    </w:pPr>
  </w:style>
  <w:style w:type="numbering" w:customStyle="1" w:styleId="WWNum23">
    <w:name w:val="WWNum23"/>
    <w:pPr>
      <w:numPr>
        <w:numId w:val="19"/>
      </w:numPr>
    </w:pPr>
  </w:style>
  <w:style w:type="numbering" w:customStyle="1" w:styleId="WWNum8">
    <w:name w:val="WWNum8"/>
    <w:pPr>
      <w:numPr>
        <w:numId w:val="20"/>
      </w:numPr>
    </w:pPr>
  </w:style>
  <w:style w:type="numbering" w:customStyle="1" w:styleId="WWNum24">
    <w:name w:val="WWNum24"/>
    <w:pPr>
      <w:numPr>
        <w:numId w:val="21"/>
      </w:numPr>
    </w:pPr>
  </w:style>
  <w:style w:type="numbering" w:customStyle="1" w:styleId="WWNum12">
    <w:name w:val="WWNum12"/>
    <w:pPr>
      <w:numPr>
        <w:numId w:val="22"/>
      </w:numPr>
    </w:pPr>
  </w:style>
  <w:style w:type="numbering" w:customStyle="1" w:styleId="WWNum7">
    <w:name w:val="WWNum7"/>
    <w:pPr>
      <w:numPr>
        <w:numId w:val="23"/>
      </w:numPr>
    </w:pPr>
  </w:style>
  <w:style w:type="numbering" w:customStyle="1" w:styleId="WWNum3">
    <w:name w:val="WWNum3"/>
    <w:pPr>
      <w:numPr>
        <w:numId w:val="24"/>
      </w:numPr>
    </w:pPr>
  </w:style>
  <w:style w:type="character" w:customStyle="1" w:styleId="product-detail-characteristicsitem-title">
    <w:name w:val="product-detail-characteristics__item-title"/>
    <w:basedOn w:val="a0"/>
  </w:style>
  <w:style w:type="character" w:customStyle="1" w:styleId="product-detail-characteristicsitem-value">
    <w:name w:val="product-detail-characteristics__item-value"/>
    <w:basedOn w:val="a0"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table" w:customStyle="1" w:styleId="120">
    <w:name w:val="Сетка таблицы12"/>
    <w:basedOn w:val="a1"/>
    <w:next w:val="aa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A729A-3CFB-48C5-A547-D3143A5B2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6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Ирина</cp:lastModifiedBy>
  <cp:revision>41</cp:revision>
  <cp:lastPrinted>2024-04-11T04:27:00Z</cp:lastPrinted>
  <dcterms:created xsi:type="dcterms:W3CDTF">2023-11-10T08:14:00Z</dcterms:created>
  <dcterms:modified xsi:type="dcterms:W3CDTF">2024-04-23T06:36:00Z</dcterms:modified>
</cp:coreProperties>
</file>