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398A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ФОРМИРОВАНИЕ ЛЕКСИКО-ГРАММАТИЧЕСКОГО СТРОЯ РЕЧИ У ДЕТЕЙ СТАРШЕГО ДОШКОЛЬНОГО ВОЗРАСТА С ТЯЖЕЛЫМИ НАРУШЕНИЯМИ РЕЧИ ПОСРЕДСТВОМ ДИДАКТИЧЕСКИХ ИГР</w:t>
      </w:r>
    </w:p>
    <w:p w14:paraId="28D374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5"/>
          <w:rFonts w:ascii="Times New Roman" w:hAnsi="Times New Roman" w:cs="Times New Roman"/>
          <w:sz w:val="28"/>
          <w:szCs w:val="28"/>
        </w:rPr>
        <w:t xml:space="preserve">Аннотация: </w:t>
      </w:r>
      <w:r>
        <w:rPr>
          <w:rStyle w:val="5"/>
          <w:rFonts w:ascii="Times New Roman" w:hAnsi="Times New Roman" w:cs="Times New Roman"/>
          <w:b w:val="0"/>
          <w:sz w:val="28"/>
          <w:szCs w:val="28"/>
        </w:rPr>
        <w:t xml:space="preserve">Дидактические игры – это игры которые помогают детям  с тяжелыми нарушениями речи в формировании лексико-грамматического строя речи. </w:t>
      </w:r>
      <w:r>
        <w:rPr>
          <w:rFonts w:ascii="Times New Roman" w:hAnsi="Times New Roman" w:cs="Times New Roman"/>
          <w:sz w:val="28"/>
          <w:szCs w:val="28"/>
        </w:rPr>
        <w:t xml:space="preserve">Существенным фактором, который определяет формирование лексико-грамматической структуры языка, будет то, как быстро и качественно ребенок овладеет языковыми правилами и общими законами. У детей с ТНР лексико-грамматический строй речи, как правило, развивается в том же порядке, что и у детей с сохранным развитием, но качественно хуже и медленнее. </w:t>
      </w:r>
    </w:p>
    <w:p w14:paraId="7D8BFECB">
      <w:pPr>
        <w:pStyle w:val="6"/>
        <w:spacing w:line="360" w:lineRule="auto"/>
        <w:ind w:firstLine="709"/>
        <w:jc w:val="both"/>
        <w:rPr>
          <w:rStyle w:val="5"/>
          <w:rFonts w:ascii="Times New Roman" w:hAnsi="Times New Roman" w:cs="Times New Roman"/>
          <w:b w:val="0"/>
          <w:sz w:val="28"/>
          <w:szCs w:val="28"/>
        </w:rPr>
      </w:pPr>
    </w:p>
    <w:p w14:paraId="3334A10D">
      <w:pPr>
        <w:pStyle w:val="6"/>
        <w:spacing w:line="360" w:lineRule="auto"/>
        <w:ind w:firstLine="709"/>
        <w:jc w:val="both"/>
        <w:rPr>
          <w:rStyle w:val="5"/>
          <w:rFonts w:ascii="Times New Roman" w:hAnsi="Times New Roman" w:cs="Times New Roman"/>
          <w:sz w:val="28"/>
          <w:szCs w:val="28"/>
        </w:rPr>
      </w:pPr>
      <w:r>
        <w:rPr>
          <w:rStyle w:val="5"/>
          <w:rFonts w:ascii="Times New Roman" w:hAnsi="Times New Roman" w:cs="Times New Roman"/>
          <w:sz w:val="28"/>
          <w:szCs w:val="28"/>
        </w:rPr>
        <w:t>Ключевые слова:</w:t>
      </w:r>
      <w:r>
        <w:rPr>
          <w:rStyle w:val="5"/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Style w:val="5"/>
          <w:rFonts w:ascii="Times New Roman" w:hAnsi="Times New Roman" w:cs="Times New Roman"/>
          <w:b w:val="0"/>
          <w:i/>
          <w:sz w:val="28"/>
          <w:szCs w:val="28"/>
        </w:rPr>
        <w:t xml:space="preserve">дошкольник, дошкольная образовательная организация, </w:t>
      </w:r>
      <w:r>
        <w:rPr>
          <w:rFonts w:ascii="Times New Roman" w:hAnsi="Times New Roman" w:cs="Times New Roman"/>
          <w:i/>
          <w:sz w:val="28"/>
          <w:szCs w:val="28"/>
        </w:rPr>
        <w:t>лексико-грамматического строя речи</w:t>
      </w:r>
      <w:r>
        <w:rPr>
          <w:rStyle w:val="5"/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тяжелое нарушение речи, дидактические игры</w:t>
      </w:r>
      <w:r>
        <w:rPr>
          <w:rStyle w:val="5"/>
          <w:rFonts w:ascii="Times New Roman" w:hAnsi="Times New Roman" w:cs="Times New Roman"/>
          <w:i/>
          <w:sz w:val="28"/>
          <w:szCs w:val="28"/>
        </w:rPr>
        <w:t>.</w:t>
      </w:r>
    </w:p>
    <w:p w14:paraId="2CF49553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C484BB6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Актуальность темы заключается в том, что несформированность лексико-грамматического строя речи у детей старшего дошкольного возраста является одним из ключевых факторов тяжелого нарушения речи. </w:t>
      </w:r>
    </w:p>
    <w:p w14:paraId="4E8F2FDD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Ученые, изучающие развитие речи у дошкольников, такие как Р.Е. Левина, В.К. Орфинская, Т.В. Туманова, Т.Б. Филичева и другие, подтверждают эту связь. Тяжелое нарушение речи характеризуется нарушениями всех аспектов речевой системы, включая звуковую сторону, лексику, грамматику и фонетику. </w:t>
      </w:r>
    </w:p>
    <w:p w14:paraId="2007A1F8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детей с тяжелыми нарушениями речи используют слова с неправильным значением и наблюдаются различные вербальные парафазии и несовершенство в развитии семантических полей. Такие дети испытывают трудности в актуализации лексики и грамматики. Тяжелое нарушение речи имеет негативное воздействие на все аспекты развития ребенка. Оно затрудняет развитие его познавательных способностей, снижает эффективность запоминания информации, нарушает логику и осмысленность исполнения задач, а также затрудняет освоение мыслительных процессов у детей [8, с. 87].</w:t>
      </w:r>
    </w:p>
    <w:p w14:paraId="3BBABEB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началу школьного обучения уровень сформированности лексико-грамматических средств языка у детей с ТНР значительно отстает от нормы, самостоятельная связная  речь у младших школьников долгое время остается несовершенной. Это создает детям дополнительные трудности в процессе обучения. В связи с этим формирование связной  речи старших дошкольников с ТНР приобретает первостепенное значение в общем комплексе коррекционных мероприятий» [5, с. 176].</w:t>
      </w:r>
    </w:p>
    <w:p w14:paraId="022726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лексико-грамматического строя речи важно вести по трем направлениям: увеличивать количество слов в личном словаре, учить формировать законченные фразы и внедрять их в речевой поток. </w:t>
      </w:r>
    </w:p>
    <w:p w14:paraId="7F4E8F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«Использование дидактических игр и игровых приемов в процессе формирования лексики и грамматики у детей с ТНР является важным компонентом коррекционной работы».</w:t>
      </w:r>
    </w:p>
    <w:p w14:paraId="39650A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Дидактические игры помогают заменить изменения в образовании слов, тренируют составление связных высказываний, формируют пояснительную речь - весьма эффективное средство развития лексико-грамматических навыков.</w:t>
      </w:r>
    </w:p>
    <w:p w14:paraId="0E8D27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Было проведено экспериментальное исследование. Опираясь на исследования Н.В. Нищевой, были выделены показатели исследования уровня сформированности лексико-грамматического строя речи у детей старшего дошкольного возраста с тяжелыми нарушениями речи, а также осуществили отбор и разработку диагностических заданий</w:t>
      </w:r>
    </w:p>
    <w:p w14:paraId="406C2489">
      <w:pPr>
        <w:pStyle w:val="7"/>
        <w:autoSpaceDE w:val="0"/>
        <w:snapToGrid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Исходя из проведенных методик исследования, пришли к выводу, что у детей старшего дошкольного возраста с ТНР преобладает низкий и средний уровни развития лексико-грамматического строя речи.</w:t>
      </w:r>
    </w:p>
    <w:p w14:paraId="5067CB35">
      <w:pPr>
        <w:pStyle w:val="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детьми шестого года жизни с ТНР включает «Программу коррекционно-развивающей работы в логопедической группе детского сада для детей с общим недоразвитием речи шестого года жизни», разработанную Н.В. Нищевой [7, с. 96].</w:t>
      </w:r>
    </w:p>
    <w:p w14:paraId="1475DE45">
      <w:pPr>
        <w:pStyle w:val="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Первоначально была проведена работа по формированию лексико-грамматической структуры предложений. Одним из методов было использование специальных дидактических игр, таких как «Закончи предложение», «Подбери слово», «Ответь на вопрос» и другие.</w:t>
      </w:r>
    </w:p>
    <w:p w14:paraId="6C9B2E86">
      <w:pPr>
        <w:pStyle w:val="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Другим направлением коррекционной работы было обогащение и активизация лексики дошкольников через использование дидактических игр в коррекционно-развивающей работе. </w:t>
      </w:r>
    </w:p>
    <w:p w14:paraId="005BAEA5">
      <w:pPr>
        <w:pStyle w:val="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Посредством дидактических игр «Скажи правильно», «Исправь ошибку», «Кто, какую пользу приносит», «Хвастунишки», формировалось умение детей использовать в речи различные лексические средства языка, правильно строить предложения и обеспечивать связи между ними. Кроме того, дети развивали коммуникативные навыки общения.</w:t>
      </w:r>
    </w:p>
    <w:p w14:paraId="6870FFE1">
      <w:pPr>
        <w:pStyle w:val="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формировали умение образовывать имена существительные в именительном падеже с уменьшительно-ласкательными суффиксами проводилось посредством дидактических игр «Кто у кого» и «Назови фрукты ласково» и другие»</w:t>
      </w:r>
    </w:p>
    <w:p w14:paraId="7726B74D">
      <w:pPr>
        <w:pStyle w:val="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комплекса дидактических игр включало в себя учет принципов усложнения, наглядности и последовательности. Это позволяло не только сделать занятия интересными и увлекательными для детей, но и обеспечить их постепенное и полноценное развитие в различных областях знаний и навыков [3, с. 112].</w:t>
      </w:r>
    </w:p>
    <w:p w14:paraId="52B345A4">
      <w:pPr>
        <w:pStyle w:val="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Следовательно, использование дидактических игр и организация комплекса в совместной деятельности педагога и детей в режимных моментах эффективно в развитии грамматического строя речи у детей старшего дошкольного возраста с общим недоразвитием речи.</w:t>
      </w:r>
    </w:p>
    <w:p w14:paraId="307255DE">
      <w:pPr>
        <w:pStyle w:val="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проведения игр и организации комплекса в совместной деятельности педагога и детей в режимных моментах был проведен контрольный этап эксперимента.</w:t>
      </w:r>
    </w:p>
    <w:p w14:paraId="17F13B4D">
      <w:pPr>
        <w:pStyle w:val="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E288AD">
      <w:pPr>
        <w:pStyle w:val="6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</w:t>
      </w:r>
    </w:p>
    <w:p w14:paraId="3E4838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249477F">
      <w:pPr>
        <w:pStyle w:val="10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Бакунина А. М. Мониторинг развития речи дошкольников с ТНР в контексте компетентностного подхода //Дошкольная педагогика. 2021. № 9. С.44-45.</w:t>
      </w:r>
    </w:p>
    <w:p w14:paraId="6B94F9A6">
      <w:pPr>
        <w:pStyle w:val="10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Волкова Л. С. Логопедия / Под ред. Л. С. Волковой М. : Владос, 2020. 704 с.</w:t>
      </w:r>
    </w:p>
    <w:p w14:paraId="16C54A76">
      <w:pPr>
        <w:pStyle w:val="10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Волосовец Т. В. Преодоление общего недоразвития речи дошкольников. М. : Институт общегуманитарных исследований, 2021. 256 с.</w:t>
      </w:r>
    </w:p>
    <w:p w14:paraId="7F020CC1">
      <w:pPr>
        <w:pStyle w:val="10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Генинг М. Г. Обучение дошкольников правильной речи. М. : АСТ, 2021. 216 с.</w:t>
      </w:r>
    </w:p>
    <w:p w14:paraId="2DEB2628">
      <w:pPr>
        <w:pStyle w:val="10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Гриншпун Б. М. Недоразвитие речи у дошкольников // Дошкольное воспитание. 2020. № 6. С. 63-67.</w:t>
      </w:r>
    </w:p>
    <w:p w14:paraId="0D902253">
      <w:pPr>
        <w:pStyle w:val="10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Лалаева Р. И., Серебрякова Н. В. Формирование лексики и грамматического строя у дошкольников с общим недоразвитием речи. СПб. : Союз, 2021. 224 с.</w:t>
      </w:r>
    </w:p>
    <w:p w14:paraId="65284708">
      <w:pPr>
        <w:pStyle w:val="10"/>
        <w:numPr>
          <w:ilvl w:val="0"/>
          <w:numId w:val="1"/>
        </w:numPr>
        <w:spacing w:after="0" w:line="360" w:lineRule="auto"/>
        <w:ind w:left="0" w:firstLine="709"/>
        <w:jc w:val="both"/>
        <w:rPr>
          <w:rFonts w:hint="default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Нищева Н. В. Комплексная образовательная программа дошкольного образования для детей с тяжелыми нарушениями речи (общим недоразвитием речи) с 3 до 7 лет. Спб. : Питер, 2021.</w:t>
      </w:r>
    </w:p>
    <w:p w14:paraId="7F6C9E95">
      <w:pPr>
        <w:pStyle w:val="10"/>
        <w:numPr>
          <w:numId w:val="0"/>
        </w:numPr>
        <w:spacing w:after="0" w:line="360" w:lineRule="auto"/>
        <w:jc w:val="both"/>
        <w:rPr>
          <w:rFonts w:hint="default"/>
          <w:lang w:val="en-US"/>
        </w:rPr>
      </w:pPr>
    </w:p>
    <w:p w14:paraId="1DC801CF">
      <w:pPr>
        <w:pStyle w:val="10"/>
        <w:numPr>
          <w:numId w:val="0"/>
        </w:numPr>
        <w:spacing w:after="0" w:line="360" w:lineRule="auto"/>
        <w:jc w:val="both"/>
        <w:rPr>
          <w:rFonts w:hint="default"/>
          <w:b/>
          <w:bCs/>
          <w:sz w:val="32"/>
          <w:szCs w:val="32"/>
          <w:lang w:val="en-US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Подготов</w:t>
      </w:r>
      <w:bookmarkStart w:id="0" w:name="_GoBack"/>
      <w:bookmarkEnd w:id="0"/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или: воспитатели   Кузовова К.М. Емельянова Е.А.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D82CCE"/>
    <w:multiLevelType w:val="multilevel"/>
    <w:tmpl w:val="07D82CCE"/>
    <w:lvl w:ilvl="0" w:tentative="0">
      <w:start w:val="1"/>
      <w:numFmt w:val="decimal"/>
      <w:lvlText w:val="%1."/>
      <w:lvlJc w:val="left"/>
      <w:pPr>
        <w:ind w:left="1429" w:hanging="360"/>
      </w:pPr>
    </w:lvl>
    <w:lvl w:ilvl="1" w:tentative="0">
      <w:start w:val="1"/>
      <w:numFmt w:val="lowerLetter"/>
      <w:lvlText w:val="%2."/>
      <w:lvlJc w:val="left"/>
      <w:pPr>
        <w:ind w:left="2149" w:hanging="360"/>
      </w:pPr>
    </w:lvl>
    <w:lvl w:ilvl="2" w:tentative="0">
      <w:start w:val="1"/>
      <w:numFmt w:val="lowerRoman"/>
      <w:lvlText w:val="%3."/>
      <w:lvlJc w:val="right"/>
      <w:pPr>
        <w:ind w:left="2869" w:hanging="180"/>
      </w:pPr>
    </w:lvl>
    <w:lvl w:ilvl="3" w:tentative="0">
      <w:start w:val="1"/>
      <w:numFmt w:val="decimal"/>
      <w:lvlText w:val="%4."/>
      <w:lvlJc w:val="left"/>
      <w:pPr>
        <w:ind w:left="3589" w:hanging="360"/>
      </w:pPr>
    </w:lvl>
    <w:lvl w:ilvl="4" w:tentative="0">
      <w:start w:val="1"/>
      <w:numFmt w:val="lowerLetter"/>
      <w:lvlText w:val="%5."/>
      <w:lvlJc w:val="left"/>
      <w:pPr>
        <w:ind w:left="4309" w:hanging="360"/>
      </w:pPr>
    </w:lvl>
    <w:lvl w:ilvl="5" w:tentative="0">
      <w:start w:val="1"/>
      <w:numFmt w:val="lowerRoman"/>
      <w:lvlText w:val="%6."/>
      <w:lvlJc w:val="right"/>
      <w:pPr>
        <w:ind w:left="5029" w:hanging="180"/>
      </w:pPr>
    </w:lvl>
    <w:lvl w:ilvl="6" w:tentative="0">
      <w:start w:val="1"/>
      <w:numFmt w:val="decimal"/>
      <w:lvlText w:val="%7."/>
      <w:lvlJc w:val="left"/>
      <w:pPr>
        <w:ind w:left="5749" w:hanging="360"/>
      </w:pPr>
    </w:lvl>
    <w:lvl w:ilvl="7" w:tentative="0">
      <w:start w:val="1"/>
      <w:numFmt w:val="lowerLetter"/>
      <w:lvlText w:val="%8."/>
      <w:lvlJc w:val="left"/>
      <w:pPr>
        <w:ind w:left="6469" w:hanging="360"/>
      </w:pPr>
    </w:lvl>
    <w:lvl w:ilvl="8" w:tentative="0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EA3"/>
    <w:rsid w:val="000C29CD"/>
    <w:rsid w:val="006D5E28"/>
    <w:rsid w:val="00772F7B"/>
    <w:rsid w:val="007B1EA3"/>
    <w:rsid w:val="008660E0"/>
    <w:rsid w:val="00CD0618"/>
    <w:rsid w:val="00D47459"/>
    <w:rsid w:val="00D937E4"/>
    <w:rsid w:val="00E578D3"/>
    <w:rsid w:val="00F74596"/>
    <w:rsid w:val="7B9A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link w:val="9"/>
    <w:qFormat/>
    <w:uiPriority w:val="9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22"/>
    <w:rPr>
      <w:b/>
      <w:bCs/>
    </w:rPr>
  </w:style>
  <w:style w:type="paragraph" w:styleId="6">
    <w:name w:val="No Spacing"/>
    <w:link w:val="8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customStyle="1" w:styleId="7">
    <w:name w:val="Standard"/>
    <w:uiPriority w:val="99"/>
    <w:pPr>
      <w:widowControl w:val="0"/>
      <w:suppressAutoHyphens/>
      <w:spacing w:after="0" w:line="240" w:lineRule="auto"/>
      <w:textAlignment w:val="baseline"/>
    </w:pPr>
    <w:rPr>
      <w:rFonts w:ascii="Arial" w:hAnsi="Arial" w:eastAsia="SimSun" w:cs="Arial"/>
      <w:kern w:val="1"/>
      <w:sz w:val="24"/>
      <w:szCs w:val="24"/>
      <w:lang w:val="ru-RU" w:eastAsia="hi-IN" w:bidi="hi-IN"/>
    </w:rPr>
  </w:style>
  <w:style w:type="character" w:customStyle="1" w:styleId="8">
    <w:name w:val="Без интервала Знак"/>
    <w:link w:val="6"/>
    <w:locked/>
    <w:uiPriority w:val="1"/>
  </w:style>
  <w:style w:type="character" w:customStyle="1" w:styleId="9">
    <w:name w:val="Заголовок 1 Знак"/>
    <w:basedOn w:val="3"/>
    <w:link w:val="2"/>
    <w:uiPriority w:val="9"/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paragraph" w:styleId="10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918</Words>
  <Characters>5238</Characters>
  <Lines>43</Lines>
  <Paragraphs>12</Paragraphs>
  <TotalTime>137</TotalTime>
  <ScaleCrop>false</ScaleCrop>
  <LinksUpToDate>false</LinksUpToDate>
  <CharactersWithSpaces>6144</CharactersWithSpaces>
  <Application>WPS Office_12.2.0.18638_F1E327BC-269C-435d-A152-05C5408002CA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2024-01-25T15:08:00Z</dcterms:created>
  <dc:creator>Катя</dc:creator>
  <cp:lastModifiedBy>КОТ</cp:lastModifiedBy>
  <dcterms:modified xsi:type="dcterms:W3CDTF">2024-11-27T17:46:46Z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1049-12.2.0.18638</vt:lpwstr>
  </property>
  <property fmtid="{D5CDD505-2E9C-101B-9397-08002B2CF9AE}" pid="3" name="ICV">
    <vt:lpwstr>60FAA8ABAA9848B38A3CCF0C0B5A3D0A_13</vt:lpwstr>
  </property>
</Properties>
</file>