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51CD" w:rsidRDefault="002D0EAC" w:rsidP="008451CD">
      <w:pPr>
        <w:shd w:val="clear" w:color="auto" w:fill="FFFFFF"/>
        <w:spacing w:before="100" w:beforeAutospacing="1"/>
        <w:contextualSpacing/>
        <w:jc w:val="center"/>
        <w:rPr>
          <w:b/>
          <w:bCs/>
          <w:color w:val="000000"/>
          <w:szCs w:val="28"/>
          <w:shd w:val="clear" w:color="auto" w:fill="FFFFFF"/>
        </w:rPr>
      </w:pPr>
      <w:r>
        <w:rPr>
          <w:b/>
          <w:bCs/>
          <w:color w:val="000000"/>
          <w:szCs w:val="28"/>
          <w:shd w:val="clear" w:color="auto" w:fill="FFFFFF"/>
        </w:rPr>
        <w:t>ПОВЫШЕНИЕ СТРЕССОВОЙ УСТОЙЧИВОСТИ</w:t>
      </w:r>
      <w:r w:rsidRPr="00BB2AB7">
        <w:rPr>
          <w:b/>
          <w:bCs/>
          <w:color w:val="000000"/>
          <w:szCs w:val="28"/>
          <w:shd w:val="clear" w:color="auto" w:fill="FFFFFF"/>
        </w:rPr>
        <w:t xml:space="preserve"> ПЕДАГОГИЧЕСКИХ РАБОТНИКОВ</w:t>
      </w:r>
      <w:r>
        <w:rPr>
          <w:b/>
          <w:bCs/>
          <w:color w:val="000000"/>
          <w:szCs w:val="28"/>
          <w:shd w:val="clear" w:color="auto" w:fill="FFFFFF"/>
        </w:rPr>
        <w:t xml:space="preserve"> КАК УСЛОВИЕ ПРОФИЛАКТИКИ ЭМОЦИОНАЛЬНОГО ВЫГОРАНИЯ</w:t>
      </w:r>
    </w:p>
    <w:p w:rsidR="008451CD" w:rsidRPr="005F5500" w:rsidRDefault="008451CD" w:rsidP="008451CD">
      <w:pPr>
        <w:shd w:val="clear" w:color="auto" w:fill="FFFFFF"/>
        <w:spacing w:before="100" w:beforeAutospacing="1"/>
        <w:contextualSpacing/>
        <w:jc w:val="center"/>
        <w:rPr>
          <w:rFonts w:ascii="yandex-sans" w:hAnsi="yandex-sans"/>
          <w:color w:val="000000"/>
          <w:szCs w:val="28"/>
        </w:rPr>
      </w:pPr>
    </w:p>
    <w:p w:rsidR="008451CD" w:rsidRPr="00964A2E" w:rsidRDefault="00BB2AB7" w:rsidP="008451CD">
      <w:pPr>
        <w:contextualSpacing/>
        <w:jc w:val="center"/>
        <w:rPr>
          <w:szCs w:val="28"/>
        </w:rPr>
      </w:pPr>
      <w:r>
        <w:rPr>
          <w:b/>
          <w:szCs w:val="28"/>
        </w:rPr>
        <w:t>Л.Н.Марченко</w:t>
      </w:r>
    </w:p>
    <w:p w:rsidR="008451CD" w:rsidRPr="00F56697" w:rsidRDefault="008158D5" w:rsidP="008451CD">
      <w:pPr>
        <w:contextualSpacing/>
        <w:jc w:val="center"/>
        <w:rPr>
          <w:rFonts w:ascii="yandex-sans" w:hAnsi="yandex-sans"/>
          <w:sz w:val="23"/>
          <w:szCs w:val="23"/>
        </w:rPr>
      </w:pPr>
      <w:r>
        <w:rPr>
          <w:color w:val="000000"/>
          <w:szCs w:val="28"/>
        </w:rPr>
        <w:t xml:space="preserve">МБУДО ДТДМ </w:t>
      </w:r>
      <w:bookmarkStart w:id="0" w:name="_GoBack"/>
      <w:bookmarkEnd w:id="0"/>
      <w:r w:rsidR="008451CD">
        <w:rPr>
          <w:color w:val="000000"/>
          <w:szCs w:val="28"/>
        </w:rPr>
        <w:t xml:space="preserve">г. </w:t>
      </w:r>
      <w:r w:rsidR="00BB2AB7">
        <w:rPr>
          <w:color w:val="000000"/>
          <w:szCs w:val="28"/>
        </w:rPr>
        <w:t>Белово</w:t>
      </w:r>
      <w:r w:rsidR="008451CD">
        <w:rPr>
          <w:color w:val="000000"/>
          <w:szCs w:val="28"/>
        </w:rPr>
        <w:t xml:space="preserve">, </w:t>
      </w:r>
      <w:r w:rsidR="00BB2AB7">
        <w:rPr>
          <w:color w:val="000000"/>
          <w:szCs w:val="28"/>
        </w:rPr>
        <w:t>Россия</w:t>
      </w:r>
    </w:p>
    <w:p w:rsidR="008451CD" w:rsidRPr="00F56697" w:rsidRDefault="008451CD" w:rsidP="008451CD">
      <w:pPr>
        <w:shd w:val="clear" w:color="auto" w:fill="FFFFFF"/>
        <w:spacing w:before="100" w:beforeAutospacing="1"/>
        <w:contextualSpacing/>
        <w:jc w:val="center"/>
        <w:rPr>
          <w:rFonts w:ascii="yandex-sans" w:hAnsi="yandex-sans"/>
          <w:color w:val="000000"/>
          <w:sz w:val="23"/>
          <w:szCs w:val="23"/>
        </w:rPr>
      </w:pPr>
    </w:p>
    <w:p w:rsidR="008451CD" w:rsidRPr="005F5500" w:rsidRDefault="002D0EAC" w:rsidP="002D0EAC">
      <w:pPr>
        <w:spacing w:before="100" w:beforeAutospacing="1" w:after="100" w:afterAutospacing="1"/>
        <w:ind w:firstLine="709"/>
        <w:contextualSpacing/>
        <w:rPr>
          <w:sz w:val="24"/>
          <w:szCs w:val="24"/>
        </w:rPr>
      </w:pPr>
      <w:r>
        <w:rPr>
          <w:sz w:val="24"/>
          <w:szCs w:val="24"/>
        </w:rPr>
        <w:t>В статье рассматривается вопрос взаимосвязи эмоционального выгорания и стрессоустойчивости педагогических работников. Приводятся результаты эмпирического исследования демонстрирующие, что в процессе активного тренинга на повышение уровня стрессоустойчивости происходит заметное снижение уровня эмоционального выгорания.</w:t>
      </w:r>
    </w:p>
    <w:p w:rsidR="008451CD" w:rsidRPr="00052D00" w:rsidRDefault="008451CD" w:rsidP="002D0EAC">
      <w:pPr>
        <w:spacing w:before="100" w:beforeAutospacing="1" w:after="100" w:afterAutospacing="1"/>
        <w:ind w:firstLine="709"/>
        <w:contextualSpacing/>
        <w:rPr>
          <w:sz w:val="24"/>
          <w:szCs w:val="24"/>
        </w:rPr>
      </w:pPr>
      <w:r w:rsidRPr="005F5500">
        <w:rPr>
          <w:b/>
          <w:sz w:val="24"/>
          <w:szCs w:val="24"/>
        </w:rPr>
        <w:t>Ключевые слова:</w:t>
      </w:r>
      <w:r w:rsidR="002D0EAC">
        <w:rPr>
          <w:sz w:val="24"/>
          <w:szCs w:val="24"/>
        </w:rPr>
        <w:t>стрессоустойчивость, эмоциональное выгорание</w:t>
      </w:r>
      <w:r w:rsidRPr="005F5500">
        <w:rPr>
          <w:sz w:val="24"/>
          <w:szCs w:val="24"/>
        </w:rPr>
        <w:t>.</w:t>
      </w:r>
    </w:p>
    <w:p w:rsidR="002D0EAC" w:rsidRDefault="002D0EAC" w:rsidP="00354018">
      <w:pPr>
        <w:ind w:firstLine="709"/>
      </w:pPr>
    </w:p>
    <w:p w:rsidR="00354018" w:rsidRPr="00D76BB3" w:rsidRDefault="00354018" w:rsidP="00354018">
      <w:pPr>
        <w:ind w:firstLine="709"/>
      </w:pPr>
      <w:r w:rsidRPr="00D76BB3">
        <w:t xml:space="preserve">«Психологическое выгорание педагогов» - при рассмотрении данной темы, само ее звучание, вызывало некоторое замешательство. Только вслушайтесь как это звучит «Психологическое выгорание педагогов». Это можно приравнять к такой фразе как: «протекание аллергии у сотрудников ГИБДД». Понятно, что </w:t>
      </w:r>
      <w:r>
        <w:t xml:space="preserve">при </w:t>
      </w:r>
      <w:r w:rsidRPr="00D76BB3">
        <w:t>аллерги</w:t>
      </w:r>
      <w:r>
        <w:t>и</w:t>
      </w:r>
      <w:r w:rsidRPr="00D76BB3">
        <w:t>, одни и те же симптомы что у полицейского, что у повара, что у безработного, потому что это недуг тела человека, а не сферы деятельности. То же дело обстоит и с психологическим выгоранием. Не важно кем работаешь менеджером, организатором, педагогом, пробоотборщиком «выгореть» можно на любом месте. Для этого нужно несколько составляющих: чрезмерно большой объем дел, сжатые сроки, ограничение творческого подхода, повышенное внимание и ответственность.</w:t>
      </w:r>
    </w:p>
    <w:p w:rsidR="00354018" w:rsidRPr="00D76BB3" w:rsidRDefault="00354018" w:rsidP="00354018">
      <w:pPr>
        <w:ind w:firstLine="709"/>
      </w:pPr>
      <w:r w:rsidRPr="00D76BB3">
        <w:t xml:space="preserve">Но все же тема «Психологическое выгорание педагогов» остаётся актуальной. И эта тема будет актуальна всегда, пока есть образовательный процесс. Пока педагога не заменили роботизированный системы и образовательные платформы, всегда буду </w:t>
      </w:r>
      <w:r w:rsidR="002D0EAC" w:rsidRPr="00D76BB3">
        <w:t>люди,</w:t>
      </w:r>
      <w:r w:rsidRPr="00D76BB3">
        <w:t xml:space="preserve"> приходящие в профессию с горящими глазами, переполненные творческими идеями и уникальными предложениями. Возлагающие большие надежды на раскрытия своего потенциала и одобрения всего этого учениками, их родителями, коллегами. И столкнувшимися с реальными условиями работы, наполненными ограничениями, сроками, планами, инструкциями. </w:t>
      </w:r>
    </w:p>
    <w:p w:rsidR="00354018" w:rsidRPr="00D76BB3" w:rsidRDefault="00354018" w:rsidP="00354018">
      <w:pPr>
        <w:ind w:firstLine="709"/>
      </w:pPr>
      <w:r w:rsidRPr="00D76BB3">
        <w:t xml:space="preserve">Замечали, каков подход к своей работе у молодых специалистов? Им все ново, все интересно. Они задают много вопросов, вникают в нюансы, чего-то пугаются, разбираются, переживают, делают, получают критику, опыт. Как много эмоций и душевных волнений. Чем дольше работает </w:t>
      </w:r>
      <w:r w:rsidR="002D0EAC" w:rsidRPr="00D76BB3">
        <w:t>человек,</w:t>
      </w:r>
      <w:r w:rsidRPr="00D76BB3">
        <w:t xml:space="preserve"> тем больше у него наработок и былая новизна переходит в рутину. В ежедневную череду дел. Восприятие педагога меняется, появляется критическое мышление относительно работы, включается режим энергосбережения. И даже время воспринимается уже </w:t>
      </w:r>
      <w:r w:rsidR="002D0EAC" w:rsidRPr="00D76BB3">
        <w:t>по-другому</w:t>
      </w:r>
      <w:r w:rsidRPr="00D76BB3">
        <w:t>, тянется от звонка до звонка, от 1 сентября до конца учебного года.</w:t>
      </w:r>
    </w:p>
    <w:p w:rsidR="00354018" w:rsidRPr="00D76BB3" w:rsidRDefault="00354018" w:rsidP="00354018">
      <w:pPr>
        <w:ind w:firstLine="709"/>
      </w:pPr>
      <w:r w:rsidRPr="00D76BB3">
        <w:t xml:space="preserve">В каждой профессии есть свои особенности, которые представляют сложности или требует особенного подхода. Так в профессии педагога есть много «острых углов», которые нужно грамотно обходить. Маневрирование между многочисленными участниками образовательного процесса, </w:t>
      </w:r>
      <w:r w:rsidRPr="00D76BB3">
        <w:lastRenderedPageBreak/>
        <w:t>мероприятиями, учебными планами, курсами повышения квалификации, открытыми уроками, публикациями, конференциями, методическими объединениями, родительскими собраниями…педагог теряет много энергии и сил. Ведь все выше перечисленное это толь часть большого списка дел, который должен делать педагог, чтобы оставаться на плаву. Потому как педагог не только должен заработать свою зарплату, но и заслуживать ее. Что под этим понимать? Теперь нужно быть не только хорошим специалистом, качественно обучать детей и получать за это деньги, еще нужно быть человеком всё успевающим, ведь все знают, что балловая система заставляет педагогов печатать публикации, участвовать в конференциях, мастер классах, мониторингах, конкурсах, воспитательных мероприятиях, творческих группах, создавать методическую продукцию, наглядный дидактический материал, презентации, делать фотоотчеты, публиковаться в газетах и журналах, работать с детьми в каникулярное время, проводить открытые занятия, участвовать в организации праздников и концертов, проходить аттестацию… И это еще не все, что нужно перечислить, но и этого достаточно, чтобы понять, как много нужно делать педагогу. И на все это нужно время, здоровье, финансы. Вот тут-то и заложены семена психологического выгорания – выходит, что это такой «профессиональный капкан», который сложно обойти. Сама система работы педагога выстроена так, что она проверяет человека на прочность. Его стрессоустойчивость, выносливость, эмоциональность.</w:t>
      </w:r>
    </w:p>
    <w:p w:rsidR="00354018" w:rsidRPr="00D76BB3" w:rsidRDefault="00354018" w:rsidP="00354018">
      <w:pPr>
        <w:ind w:firstLine="709"/>
      </w:pPr>
      <w:r w:rsidRPr="00D76BB3">
        <w:t>Данной проблематикой и поиском пути решения ученые занимались долгие годы, накоплен богатый опыт, который изложен в научной литературе.</w:t>
      </w:r>
    </w:p>
    <w:p w:rsidR="00354018" w:rsidRPr="00D76BB3" w:rsidRDefault="00354018" w:rsidP="00354018">
      <w:pPr>
        <w:ind w:firstLine="709"/>
      </w:pPr>
      <w:r w:rsidRPr="00D76BB3">
        <w:t>Проблема эмоционального выгорания изучена и отражена в работах М. </w:t>
      </w:r>
      <w:proofErr w:type="spellStart"/>
      <w:r w:rsidRPr="00D76BB3">
        <w:t>Лейтер</w:t>
      </w:r>
      <w:proofErr w:type="spellEnd"/>
      <w:r w:rsidRPr="00D76BB3">
        <w:t xml:space="preserve">, К. </w:t>
      </w:r>
      <w:proofErr w:type="spellStart"/>
      <w:r w:rsidRPr="00D76BB3">
        <w:t>Маслач</w:t>
      </w:r>
      <w:proofErr w:type="spellEnd"/>
      <w:r w:rsidRPr="00D76BB3">
        <w:t xml:space="preserve">, Е. </w:t>
      </w:r>
      <w:proofErr w:type="spellStart"/>
      <w:r w:rsidRPr="00D76BB3">
        <w:t>Харман</w:t>
      </w:r>
      <w:proofErr w:type="spellEnd"/>
      <w:r w:rsidRPr="00D76BB3">
        <w:t xml:space="preserve">, В. </w:t>
      </w:r>
      <w:proofErr w:type="spellStart"/>
      <w:r w:rsidRPr="00D76BB3">
        <w:t>Шауфели</w:t>
      </w:r>
      <w:proofErr w:type="spellEnd"/>
      <w:r w:rsidRPr="00D76BB3">
        <w:t xml:space="preserve">, В.В. Бойко, Н.Е. Водопьяновой, Е.А. Романовой, Е.С. </w:t>
      </w:r>
      <w:proofErr w:type="spellStart"/>
      <w:r w:rsidRPr="00D76BB3">
        <w:t>Старченковой</w:t>
      </w:r>
      <w:proofErr w:type="spellEnd"/>
      <w:r w:rsidRPr="00D76BB3">
        <w:t>. Анализ литературы показал, что синдром эмоционального выгорания проявляется как эмоциональное, мотивационное и физическое истощение сотрудника, характеризующееся нарушением функционирования в различных областях жизни.</w:t>
      </w:r>
    </w:p>
    <w:p w:rsidR="00354018" w:rsidRPr="00D76BB3" w:rsidRDefault="00354018" w:rsidP="00354018">
      <w:pPr>
        <w:ind w:firstLine="709"/>
      </w:pPr>
      <w:r w:rsidRPr="00D76BB3">
        <w:t xml:space="preserve">В ходе изучения литературы можно проследить единую мысль всех авторов, что взаимосвязь эмоционального истощения, стремления отказаться от своих профессиональных обязанностей, обесценивания своих профессиональных достижений связано с выраженностью эмоционального выгорания. </w:t>
      </w:r>
      <w:r>
        <w:t>Анализ литературы позволяет предположить, что ч</w:t>
      </w:r>
      <w:r w:rsidRPr="00D76BB3">
        <w:t>ем выше уровень стрессоустойчивости педагога, тем меньше он по</w:t>
      </w:r>
      <w:r>
        <w:t>двержен</w:t>
      </w:r>
      <w:r w:rsidRPr="00D76BB3">
        <w:t xml:space="preserve"> профессиональному выгоранию.</w:t>
      </w:r>
      <w:r>
        <w:t xml:space="preserve"> Для проверки данной гипотезы организовано исследование.</w:t>
      </w:r>
    </w:p>
    <w:p w:rsidR="00354018" w:rsidRDefault="00354018" w:rsidP="00354018">
      <w:pPr>
        <w:ind w:firstLine="709"/>
      </w:pPr>
      <w:r w:rsidRPr="00D76BB3">
        <w:t xml:space="preserve">Испытуемые – педагоги дополнительного образования.Методы- тест </w:t>
      </w:r>
      <w:r w:rsidR="006178C4">
        <w:t xml:space="preserve">В.В. </w:t>
      </w:r>
      <w:r w:rsidRPr="00D76BB3">
        <w:t xml:space="preserve">Бойко и </w:t>
      </w:r>
      <w:proofErr w:type="spellStart"/>
      <w:r w:rsidRPr="00D76BB3">
        <w:t>К</w:t>
      </w:r>
      <w:r w:rsidR="006178C4">
        <w:t>.</w:t>
      </w:r>
      <w:r w:rsidRPr="00D76BB3">
        <w:t>Маслач</w:t>
      </w:r>
      <w:proofErr w:type="spellEnd"/>
      <w:r w:rsidRPr="00D76BB3">
        <w:t>. К. с помощью этих тестов было исследован</w:t>
      </w:r>
      <w:r>
        <w:t>а</w:t>
      </w:r>
      <w:r w:rsidRPr="00D76BB3">
        <w:t xml:space="preserve"> группа педагогов в количестве 30 человек</w:t>
      </w:r>
      <w:r>
        <w:t>.</w:t>
      </w:r>
      <w:r w:rsidRPr="00354018">
        <w:t xml:space="preserve">Из них случайным образом были отобраны 15 педагогов, которые составили </w:t>
      </w:r>
      <w:r>
        <w:t>экспериментальную</w:t>
      </w:r>
      <w:r w:rsidRPr="00354018">
        <w:t xml:space="preserve"> группу, остальные же составили контрольную группу.</w:t>
      </w:r>
      <w:r w:rsidRPr="00D76BB3">
        <w:t xml:space="preserve">База исследования - муниципальное бюджетное учреждение дополнительного образования «Дворец творчества детей и молодежи имени </w:t>
      </w:r>
      <w:proofErr w:type="spellStart"/>
      <w:r w:rsidRPr="00D76BB3">
        <w:t>Добробабиной</w:t>
      </w:r>
      <w:proofErr w:type="spellEnd"/>
      <w:r w:rsidRPr="00D76BB3">
        <w:t xml:space="preserve"> А.П. города Белово».</w:t>
      </w:r>
    </w:p>
    <w:p w:rsidR="00690D0B" w:rsidRDefault="00354018" w:rsidP="00354018">
      <w:pPr>
        <w:ind w:firstLine="709"/>
      </w:pPr>
      <w:r>
        <w:t xml:space="preserve">Общий ход работы: </w:t>
      </w:r>
    </w:p>
    <w:p w:rsidR="00354018" w:rsidRDefault="00690D0B" w:rsidP="00354018">
      <w:pPr>
        <w:ind w:firstLine="709"/>
      </w:pPr>
      <w:r>
        <w:t>Первый этап – предварительное тестирование участников.</w:t>
      </w:r>
    </w:p>
    <w:p w:rsidR="00690D0B" w:rsidRDefault="00690D0B" w:rsidP="00354018">
      <w:pPr>
        <w:ind w:firstLine="709"/>
      </w:pPr>
      <w:r>
        <w:lastRenderedPageBreak/>
        <w:t xml:space="preserve">Второй этап – </w:t>
      </w:r>
      <w:r w:rsidRPr="00690D0B">
        <w:t>прове</w:t>
      </w:r>
      <w:r>
        <w:t xml:space="preserve">дение </w:t>
      </w:r>
      <w:r w:rsidRPr="00690D0B">
        <w:t>тренинг</w:t>
      </w:r>
      <w:r>
        <w:t>а</w:t>
      </w:r>
      <w:r w:rsidRPr="00690D0B">
        <w:t>, который должен был повлиять на стрессоустойчивость педагога и как следствие наметить определенные изменения в состояние психологического выгорания сотрудника образовательной отросли</w:t>
      </w:r>
      <w:r>
        <w:t>.</w:t>
      </w:r>
    </w:p>
    <w:p w:rsidR="00690D0B" w:rsidRDefault="00690D0B" w:rsidP="00690D0B">
      <w:pPr>
        <w:ind w:firstLine="709"/>
      </w:pPr>
      <w:r>
        <w:t>Третий этап – итоговое тестирование участников.</w:t>
      </w:r>
    </w:p>
    <w:p w:rsidR="008451CD" w:rsidRDefault="006178C4" w:rsidP="00690D0B">
      <w:pPr>
        <w:ind w:firstLine="709"/>
        <w:rPr>
          <w:color w:val="000000"/>
          <w:szCs w:val="28"/>
        </w:rPr>
      </w:pPr>
      <w:r>
        <w:rPr>
          <w:color w:val="000000"/>
          <w:szCs w:val="28"/>
        </w:rPr>
        <w:t xml:space="preserve">Методика В.В. Бойко диагностирует состояние эмоционального выгорания, которое соответствует стандартным фазам развития стресса. Таким образом, данная методика позволяет зафиксировать выраженность отдельных фаз стрессового напряжения </w:t>
      </w:r>
      <w:r w:rsidRPr="001B0BFC">
        <w:rPr>
          <w:color w:val="000000"/>
          <w:szCs w:val="28"/>
        </w:rPr>
        <w:t>[</w:t>
      </w:r>
      <w:r w:rsidR="001B0BFC">
        <w:rPr>
          <w:color w:val="000000"/>
          <w:szCs w:val="28"/>
        </w:rPr>
        <w:t>1</w:t>
      </w:r>
      <w:r w:rsidRPr="001B0BFC">
        <w:rPr>
          <w:color w:val="000000"/>
          <w:szCs w:val="28"/>
        </w:rPr>
        <w:t>].</w:t>
      </w:r>
      <w:r w:rsidR="00A63C64">
        <w:rPr>
          <w:color w:val="000000"/>
          <w:szCs w:val="28"/>
        </w:rPr>
        <w:t xml:space="preserve">Методика К. </w:t>
      </w:r>
      <w:proofErr w:type="spellStart"/>
      <w:r w:rsidR="00A63C64">
        <w:rPr>
          <w:color w:val="000000"/>
          <w:szCs w:val="28"/>
        </w:rPr>
        <w:t>Маслач</w:t>
      </w:r>
      <w:proofErr w:type="spellEnd"/>
      <w:r w:rsidR="00A63C64">
        <w:rPr>
          <w:color w:val="000000"/>
          <w:szCs w:val="28"/>
        </w:rPr>
        <w:t xml:space="preserve"> позволяет выявить общий показатель эмоционального выгорания</w:t>
      </w:r>
      <w:r w:rsidR="001B0BFC" w:rsidRPr="007F5A7F">
        <w:rPr>
          <w:color w:val="000000"/>
          <w:szCs w:val="28"/>
        </w:rPr>
        <w:t>[</w:t>
      </w:r>
      <w:r w:rsidR="001B0BFC">
        <w:rPr>
          <w:color w:val="000000"/>
          <w:szCs w:val="28"/>
        </w:rPr>
        <w:t>2</w:t>
      </w:r>
      <w:r w:rsidR="001B0BFC" w:rsidRPr="007F5A7F">
        <w:rPr>
          <w:color w:val="000000"/>
          <w:szCs w:val="28"/>
        </w:rPr>
        <w:t>]</w:t>
      </w:r>
      <w:r w:rsidR="00A63C64">
        <w:rPr>
          <w:color w:val="000000"/>
          <w:szCs w:val="28"/>
        </w:rPr>
        <w:t xml:space="preserve">. </w:t>
      </w:r>
    </w:p>
    <w:p w:rsidR="00CE121B" w:rsidRDefault="00CE121B" w:rsidP="00690D0B">
      <w:pPr>
        <w:ind w:firstLine="709"/>
        <w:rPr>
          <w:color w:val="000000"/>
          <w:szCs w:val="28"/>
        </w:rPr>
      </w:pPr>
      <w:r>
        <w:rPr>
          <w:color w:val="000000"/>
          <w:szCs w:val="28"/>
        </w:rPr>
        <w:t>Сравнивая результаты предварительного и итогового тестирования с использованием критерия Манна-Уитни</w:t>
      </w:r>
      <w:proofErr w:type="gramStart"/>
      <w:r>
        <w:rPr>
          <w:color w:val="000000"/>
          <w:szCs w:val="28"/>
        </w:rPr>
        <w:t>.</w:t>
      </w:r>
      <w:proofErr w:type="gramEnd"/>
      <w:r>
        <w:rPr>
          <w:color w:val="000000"/>
          <w:szCs w:val="28"/>
        </w:rPr>
        <w:t xml:space="preserve"> </w:t>
      </w:r>
      <w:proofErr w:type="gramStart"/>
      <w:r>
        <w:rPr>
          <w:color w:val="000000"/>
          <w:szCs w:val="28"/>
        </w:rPr>
        <w:t>м</w:t>
      </w:r>
      <w:proofErr w:type="gramEnd"/>
      <w:r>
        <w:rPr>
          <w:color w:val="000000"/>
          <w:szCs w:val="28"/>
        </w:rPr>
        <w:t>ы видим существенные изменения (таблицы 1,2).</w:t>
      </w:r>
    </w:p>
    <w:p w:rsidR="00CE121B" w:rsidRDefault="00CE121B" w:rsidP="00CE121B">
      <w:pPr>
        <w:spacing w:line="360" w:lineRule="auto"/>
        <w:rPr>
          <w:szCs w:val="28"/>
        </w:rPr>
      </w:pPr>
    </w:p>
    <w:p w:rsidR="00CE121B" w:rsidRPr="00D76BB3" w:rsidRDefault="00CE121B" w:rsidP="00CE121B">
      <w:pPr>
        <w:spacing w:line="360" w:lineRule="auto"/>
        <w:rPr>
          <w:szCs w:val="28"/>
        </w:rPr>
      </w:pPr>
      <w:r w:rsidRPr="00D76BB3">
        <w:rPr>
          <w:szCs w:val="28"/>
        </w:rPr>
        <w:t xml:space="preserve">Таблица </w:t>
      </w:r>
      <w:r>
        <w:rPr>
          <w:szCs w:val="28"/>
        </w:rPr>
        <w:t>1 -</w:t>
      </w:r>
      <w:r w:rsidRPr="00D76BB3">
        <w:rPr>
          <w:szCs w:val="28"/>
        </w:rPr>
        <w:t xml:space="preserve"> Результаты математического расчета экспериментальной группы </w:t>
      </w:r>
    </w:p>
    <w:tbl>
      <w:tblPr>
        <w:tblStyle w:val="a5"/>
        <w:tblW w:w="0" w:type="auto"/>
        <w:tblLook w:val="04A0"/>
      </w:tblPr>
      <w:tblGrid>
        <w:gridCol w:w="2391"/>
        <w:gridCol w:w="3594"/>
        <w:gridCol w:w="3869"/>
      </w:tblGrid>
      <w:tr w:rsidR="00CE121B" w:rsidRPr="00195225" w:rsidTr="002D1DA5">
        <w:trPr>
          <w:trHeight w:val="300"/>
        </w:trPr>
        <w:tc>
          <w:tcPr>
            <w:tcW w:w="3220" w:type="dxa"/>
            <w:noWrap/>
            <w:hideMark/>
          </w:tcPr>
          <w:p w:rsidR="00CE121B" w:rsidRPr="00195225" w:rsidRDefault="00CE121B" w:rsidP="002D1DA5">
            <w:pPr>
              <w:tabs>
                <w:tab w:val="left" w:pos="2655"/>
              </w:tabs>
              <w:jc w:val="center"/>
              <w:rPr>
                <w:b/>
                <w:sz w:val="24"/>
                <w:szCs w:val="24"/>
              </w:rPr>
            </w:pPr>
          </w:p>
        </w:tc>
        <w:tc>
          <w:tcPr>
            <w:tcW w:w="4880" w:type="dxa"/>
            <w:noWrap/>
            <w:hideMark/>
          </w:tcPr>
          <w:p w:rsidR="00CE121B" w:rsidRPr="00195225" w:rsidRDefault="00CE121B" w:rsidP="002D1DA5">
            <w:pPr>
              <w:tabs>
                <w:tab w:val="left" w:pos="2655"/>
              </w:tabs>
              <w:jc w:val="center"/>
              <w:rPr>
                <w:b/>
                <w:sz w:val="24"/>
                <w:szCs w:val="24"/>
              </w:rPr>
            </w:pPr>
            <w:r w:rsidRPr="00195225">
              <w:rPr>
                <w:b/>
                <w:sz w:val="24"/>
                <w:szCs w:val="24"/>
              </w:rPr>
              <w:t>Результаты расчетов экспериментальной  группы</w:t>
            </w:r>
          </w:p>
        </w:tc>
        <w:tc>
          <w:tcPr>
            <w:tcW w:w="5260" w:type="dxa"/>
            <w:noWrap/>
            <w:hideMark/>
          </w:tcPr>
          <w:p w:rsidR="00CE121B" w:rsidRPr="00195225" w:rsidRDefault="00CE121B" w:rsidP="002D1DA5">
            <w:pPr>
              <w:tabs>
                <w:tab w:val="left" w:pos="2655"/>
              </w:tabs>
              <w:jc w:val="center"/>
              <w:rPr>
                <w:b/>
                <w:sz w:val="24"/>
                <w:szCs w:val="24"/>
              </w:rPr>
            </w:pPr>
            <w:r w:rsidRPr="00195225">
              <w:rPr>
                <w:b/>
                <w:sz w:val="24"/>
                <w:szCs w:val="24"/>
              </w:rPr>
              <w:t>Значение р</w:t>
            </w:r>
          </w:p>
        </w:tc>
      </w:tr>
      <w:tr w:rsidR="00CE121B" w:rsidRPr="00195225" w:rsidTr="002D1DA5">
        <w:trPr>
          <w:trHeight w:val="300"/>
        </w:trPr>
        <w:tc>
          <w:tcPr>
            <w:tcW w:w="3220" w:type="dxa"/>
            <w:noWrap/>
            <w:hideMark/>
          </w:tcPr>
          <w:p w:rsidR="00CE121B" w:rsidRPr="00195225" w:rsidRDefault="00CE121B" w:rsidP="002D1DA5">
            <w:pPr>
              <w:tabs>
                <w:tab w:val="left" w:pos="2655"/>
              </w:tabs>
              <w:rPr>
                <w:b/>
                <w:sz w:val="24"/>
                <w:szCs w:val="24"/>
              </w:rPr>
            </w:pPr>
            <w:r w:rsidRPr="00195225">
              <w:rPr>
                <w:b/>
                <w:sz w:val="24"/>
                <w:szCs w:val="24"/>
              </w:rPr>
              <w:t>I. Фаза</w:t>
            </w:r>
          </w:p>
        </w:tc>
        <w:tc>
          <w:tcPr>
            <w:tcW w:w="4880" w:type="dxa"/>
            <w:noWrap/>
            <w:vAlign w:val="center"/>
            <w:hideMark/>
          </w:tcPr>
          <w:p w:rsidR="00CE121B" w:rsidRPr="00195225" w:rsidRDefault="00CE121B" w:rsidP="002D1DA5">
            <w:pPr>
              <w:tabs>
                <w:tab w:val="left" w:pos="2655"/>
              </w:tabs>
              <w:jc w:val="center"/>
              <w:rPr>
                <w:sz w:val="24"/>
                <w:szCs w:val="24"/>
              </w:rPr>
            </w:pPr>
            <w:proofErr w:type="spellStart"/>
            <w:r w:rsidRPr="00195225">
              <w:rPr>
                <w:sz w:val="24"/>
                <w:szCs w:val="24"/>
              </w:rPr>
              <w:t>Uэмп</w:t>
            </w:r>
            <w:proofErr w:type="spellEnd"/>
            <w:r w:rsidRPr="00195225">
              <w:rPr>
                <w:sz w:val="24"/>
                <w:szCs w:val="24"/>
              </w:rPr>
              <w:t>(42) находится в зоне значимости</w:t>
            </w:r>
          </w:p>
        </w:tc>
        <w:tc>
          <w:tcPr>
            <w:tcW w:w="5260" w:type="dxa"/>
            <w:noWrap/>
            <w:vAlign w:val="center"/>
            <w:hideMark/>
          </w:tcPr>
          <w:p w:rsidR="00CE121B" w:rsidRPr="00195225" w:rsidRDefault="00CE121B" w:rsidP="002D1DA5">
            <w:pPr>
              <w:tabs>
                <w:tab w:val="left" w:pos="2655"/>
              </w:tabs>
              <w:jc w:val="center"/>
              <w:rPr>
                <w:sz w:val="24"/>
                <w:szCs w:val="24"/>
              </w:rPr>
            </w:pPr>
            <w:r w:rsidRPr="00195225">
              <w:rPr>
                <w:sz w:val="24"/>
                <w:szCs w:val="24"/>
              </w:rPr>
              <w:t>0</w:t>
            </w:r>
            <w:r>
              <w:rPr>
                <w:sz w:val="24"/>
                <w:szCs w:val="24"/>
              </w:rPr>
              <w:t>,</w:t>
            </w:r>
            <w:r w:rsidRPr="00195225">
              <w:rPr>
                <w:sz w:val="24"/>
                <w:szCs w:val="24"/>
              </w:rPr>
              <w:t>01</w:t>
            </w:r>
          </w:p>
        </w:tc>
      </w:tr>
      <w:tr w:rsidR="00CE121B" w:rsidRPr="00195225" w:rsidTr="002D1DA5">
        <w:trPr>
          <w:trHeight w:val="300"/>
        </w:trPr>
        <w:tc>
          <w:tcPr>
            <w:tcW w:w="3220" w:type="dxa"/>
            <w:noWrap/>
            <w:hideMark/>
          </w:tcPr>
          <w:p w:rsidR="00CE121B" w:rsidRPr="00195225" w:rsidRDefault="00CE121B" w:rsidP="002D1DA5">
            <w:pPr>
              <w:tabs>
                <w:tab w:val="left" w:pos="2655"/>
              </w:tabs>
              <w:rPr>
                <w:b/>
                <w:sz w:val="24"/>
                <w:szCs w:val="24"/>
              </w:rPr>
            </w:pPr>
            <w:r w:rsidRPr="00195225">
              <w:rPr>
                <w:b/>
                <w:sz w:val="24"/>
                <w:szCs w:val="24"/>
              </w:rPr>
              <w:t>II. Фаза</w:t>
            </w:r>
          </w:p>
        </w:tc>
        <w:tc>
          <w:tcPr>
            <w:tcW w:w="4880" w:type="dxa"/>
            <w:noWrap/>
            <w:vAlign w:val="center"/>
            <w:hideMark/>
          </w:tcPr>
          <w:p w:rsidR="00CE121B" w:rsidRPr="00195225" w:rsidRDefault="00CE121B" w:rsidP="002D1DA5">
            <w:pPr>
              <w:tabs>
                <w:tab w:val="left" w:pos="2655"/>
              </w:tabs>
              <w:jc w:val="center"/>
              <w:rPr>
                <w:sz w:val="24"/>
                <w:szCs w:val="24"/>
              </w:rPr>
            </w:pPr>
            <w:proofErr w:type="spellStart"/>
            <w:r w:rsidRPr="00195225">
              <w:rPr>
                <w:sz w:val="24"/>
                <w:szCs w:val="24"/>
              </w:rPr>
              <w:t>Uэмп</w:t>
            </w:r>
            <w:proofErr w:type="spellEnd"/>
            <w:r w:rsidRPr="00195225">
              <w:rPr>
                <w:sz w:val="24"/>
                <w:szCs w:val="24"/>
              </w:rPr>
              <w:t>(71.5) находится в зоне неопределенности</w:t>
            </w:r>
          </w:p>
        </w:tc>
        <w:tc>
          <w:tcPr>
            <w:tcW w:w="5260" w:type="dxa"/>
            <w:noWrap/>
            <w:vAlign w:val="center"/>
            <w:hideMark/>
          </w:tcPr>
          <w:p w:rsidR="00CE121B" w:rsidRPr="00195225" w:rsidRDefault="00CE121B" w:rsidP="002D1DA5">
            <w:pPr>
              <w:tabs>
                <w:tab w:val="left" w:pos="2655"/>
              </w:tabs>
              <w:jc w:val="center"/>
              <w:rPr>
                <w:sz w:val="24"/>
                <w:szCs w:val="24"/>
              </w:rPr>
            </w:pPr>
            <w:r w:rsidRPr="00195225">
              <w:rPr>
                <w:sz w:val="24"/>
                <w:szCs w:val="24"/>
              </w:rPr>
              <w:t>0</w:t>
            </w:r>
            <w:r>
              <w:rPr>
                <w:sz w:val="24"/>
                <w:szCs w:val="24"/>
              </w:rPr>
              <w:t>,</w:t>
            </w:r>
            <w:r w:rsidRPr="00195225">
              <w:rPr>
                <w:sz w:val="24"/>
                <w:szCs w:val="24"/>
              </w:rPr>
              <w:t>05</w:t>
            </w:r>
          </w:p>
        </w:tc>
      </w:tr>
      <w:tr w:rsidR="00CE121B" w:rsidRPr="00195225" w:rsidTr="002D1DA5">
        <w:trPr>
          <w:trHeight w:val="300"/>
        </w:trPr>
        <w:tc>
          <w:tcPr>
            <w:tcW w:w="3220" w:type="dxa"/>
            <w:noWrap/>
            <w:hideMark/>
          </w:tcPr>
          <w:p w:rsidR="00CE121B" w:rsidRPr="00195225" w:rsidRDefault="00CE121B" w:rsidP="002D1DA5">
            <w:pPr>
              <w:tabs>
                <w:tab w:val="left" w:pos="2655"/>
              </w:tabs>
              <w:rPr>
                <w:b/>
                <w:sz w:val="24"/>
                <w:szCs w:val="24"/>
              </w:rPr>
            </w:pPr>
            <w:r w:rsidRPr="00195225">
              <w:rPr>
                <w:b/>
                <w:sz w:val="24"/>
                <w:szCs w:val="24"/>
              </w:rPr>
              <w:t>III. Фаза</w:t>
            </w:r>
          </w:p>
        </w:tc>
        <w:tc>
          <w:tcPr>
            <w:tcW w:w="4880" w:type="dxa"/>
            <w:noWrap/>
            <w:vAlign w:val="center"/>
            <w:hideMark/>
          </w:tcPr>
          <w:p w:rsidR="00CE121B" w:rsidRPr="00195225" w:rsidRDefault="00CE121B" w:rsidP="002D1DA5">
            <w:pPr>
              <w:tabs>
                <w:tab w:val="left" w:pos="2655"/>
              </w:tabs>
              <w:jc w:val="center"/>
              <w:rPr>
                <w:sz w:val="24"/>
                <w:szCs w:val="24"/>
              </w:rPr>
            </w:pPr>
            <w:proofErr w:type="spellStart"/>
            <w:r w:rsidRPr="00195225">
              <w:rPr>
                <w:sz w:val="24"/>
                <w:szCs w:val="24"/>
              </w:rPr>
              <w:t>Uэмп</w:t>
            </w:r>
            <w:proofErr w:type="spellEnd"/>
            <w:r w:rsidRPr="00195225">
              <w:rPr>
                <w:sz w:val="24"/>
                <w:szCs w:val="24"/>
              </w:rPr>
              <w:t>(56) находится в зоне значимости</w:t>
            </w:r>
          </w:p>
        </w:tc>
        <w:tc>
          <w:tcPr>
            <w:tcW w:w="5260" w:type="dxa"/>
            <w:noWrap/>
            <w:vAlign w:val="center"/>
            <w:hideMark/>
          </w:tcPr>
          <w:p w:rsidR="00CE121B" w:rsidRPr="00195225" w:rsidRDefault="00CE121B" w:rsidP="002D1DA5">
            <w:pPr>
              <w:tabs>
                <w:tab w:val="left" w:pos="2655"/>
              </w:tabs>
              <w:jc w:val="center"/>
              <w:rPr>
                <w:sz w:val="24"/>
                <w:szCs w:val="24"/>
              </w:rPr>
            </w:pPr>
            <w:r w:rsidRPr="00195225">
              <w:rPr>
                <w:sz w:val="24"/>
                <w:szCs w:val="24"/>
              </w:rPr>
              <w:t>0</w:t>
            </w:r>
            <w:r>
              <w:rPr>
                <w:sz w:val="24"/>
                <w:szCs w:val="24"/>
              </w:rPr>
              <w:t>,</w:t>
            </w:r>
            <w:r w:rsidRPr="00195225">
              <w:rPr>
                <w:sz w:val="24"/>
                <w:szCs w:val="24"/>
              </w:rPr>
              <w:t>01</w:t>
            </w:r>
          </w:p>
        </w:tc>
      </w:tr>
      <w:tr w:rsidR="00CE121B" w:rsidRPr="00195225" w:rsidTr="002D1DA5">
        <w:trPr>
          <w:trHeight w:val="315"/>
        </w:trPr>
        <w:tc>
          <w:tcPr>
            <w:tcW w:w="3220" w:type="dxa"/>
            <w:noWrap/>
            <w:hideMark/>
          </w:tcPr>
          <w:p w:rsidR="00CE121B" w:rsidRPr="00195225" w:rsidRDefault="00CE121B" w:rsidP="002D1DA5">
            <w:pPr>
              <w:tabs>
                <w:tab w:val="left" w:pos="2655"/>
              </w:tabs>
              <w:rPr>
                <w:b/>
                <w:sz w:val="24"/>
                <w:szCs w:val="24"/>
              </w:rPr>
            </w:pPr>
            <w:r>
              <w:rPr>
                <w:b/>
                <w:sz w:val="24"/>
                <w:szCs w:val="24"/>
              </w:rPr>
              <w:t>И</w:t>
            </w:r>
            <w:r w:rsidRPr="00195225">
              <w:rPr>
                <w:b/>
                <w:sz w:val="24"/>
                <w:szCs w:val="24"/>
              </w:rPr>
              <w:t>ндекса синдрома перегорания</w:t>
            </w:r>
          </w:p>
        </w:tc>
        <w:tc>
          <w:tcPr>
            <w:tcW w:w="4880" w:type="dxa"/>
            <w:noWrap/>
            <w:vAlign w:val="center"/>
            <w:hideMark/>
          </w:tcPr>
          <w:p w:rsidR="00CE121B" w:rsidRPr="00195225" w:rsidRDefault="00CE121B" w:rsidP="002D1DA5">
            <w:pPr>
              <w:tabs>
                <w:tab w:val="left" w:pos="2655"/>
              </w:tabs>
              <w:jc w:val="center"/>
              <w:rPr>
                <w:sz w:val="24"/>
                <w:szCs w:val="24"/>
              </w:rPr>
            </w:pPr>
            <w:proofErr w:type="spellStart"/>
            <w:r w:rsidRPr="00195225">
              <w:rPr>
                <w:sz w:val="24"/>
                <w:szCs w:val="24"/>
              </w:rPr>
              <w:t>Uэмп</w:t>
            </w:r>
            <w:proofErr w:type="spellEnd"/>
            <w:r w:rsidRPr="00195225">
              <w:rPr>
                <w:sz w:val="24"/>
                <w:szCs w:val="24"/>
              </w:rPr>
              <w:t>(34) находится в зоне значимости</w:t>
            </w:r>
          </w:p>
        </w:tc>
        <w:tc>
          <w:tcPr>
            <w:tcW w:w="5260" w:type="dxa"/>
            <w:noWrap/>
            <w:vAlign w:val="center"/>
            <w:hideMark/>
          </w:tcPr>
          <w:p w:rsidR="00CE121B" w:rsidRPr="00195225" w:rsidRDefault="00CE121B" w:rsidP="002D1DA5">
            <w:pPr>
              <w:tabs>
                <w:tab w:val="left" w:pos="2655"/>
              </w:tabs>
              <w:jc w:val="center"/>
              <w:rPr>
                <w:sz w:val="24"/>
                <w:szCs w:val="24"/>
              </w:rPr>
            </w:pPr>
            <w:r w:rsidRPr="00195225">
              <w:rPr>
                <w:sz w:val="24"/>
                <w:szCs w:val="24"/>
              </w:rPr>
              <w:t>0</w:t>
            </w:r>
            <w:r>
              <w:rPr>
                <w:sz w:val="24"/>
                <w:szCs w:val="24"/>
              </w:rPr>
              <w:t>,</w:t>
            </w:r>
            <w:r w:rsidRPr="00195225">
              <w:rPr>
                <w:sz w:val="24"/>
                <w:szCs w:val="24"/>
              </w:rPr>
              <w:t>01</w:t>
            </w:r>
          </w:p>
        </w:tc>
      </w:tr>
    </w:tbl>
    <w:p w:rsidR="00CE121B" w:rsidRPr="00D76BB3" w:rsidRDefault="00CE121B" w:rsidP="00CE121B">
      <w:pPr>
        <w:tabs>
          <w:tab w:val="left" w:pos="2655"/>
        </w:tabs>
        <w:rPr>
          <w:szCs w:val="28"/>
        </w:rPr>
      </w:pPr>
    </w:p>
    <w:p w:rsidR="00CE121B" w:rsidRDefault="00DE56C3" w:rsidP="00DE56C3">
      <w:pPr>
        <w:tabs>
          <w:tab w:val="left" w:pos="851"/>
        </w:tabs>
        <w:ind w:firstLine="709"/>
        <w:rPr>
          <w:szCs w:val="28"/>
        </w:rPr>
      </w:pPr>
      <w:r w:rsidRPr="00DE56C3">
        <w:rPr>
          <w:szCs w:val="28"/>
        </w:rPr>
        <w:t xml:space="preserve">Так мы видим, что в экспериментальной группе на I и II фазе </w:t>
      </w:r>
      <w:proofErr w:type="spellStart"/>
      <w:r w:rsidRPr="00DE56C3">
        <w:rPr>
          <w:szCs w:val="28"/>
        </w:rPr>
        <w:t>Uэмп</w:t>
      </w:r>
      <w:proofErr w:type="spellEnd"/>
      <w:r w:rsidRPr="00DE56C3">
        <w:rPr>
          <w:szCs w:val="28"/>
        </w:rPr>
        <w:t xml:space="preserve"> находятся в зоне значимости, что подтверждает положительное влияние проведенного тренинга направленного на повышение стрессоустойчивости педагогов.Системный индекс синдрома перегорания педагога так же отражает повышение стрессоустойчивости.II Фаза у экспериментальной группы находится в зоне неопределенности, то есть нельзя достоверно сказать есть ли изменения до и после проведения тренинга.</w:t>
      </w:r>
    </w:p>
    <w:p w:rsidR="00DE56C3" w:rsidRPr="00D76BB3" w:rsidRDefault="00DE56C3" w:rsidP="00DE56C3">
      <w:pPr>
        <w:tabs>
          <w:tab w:val="left" w:pos="851"/>
        </w:tabs>
        <w:ind w:firstLine="709"/>
        <w:rPr>
          <w:szCs w:val="28"/>
        </w:rPr>
      </w:pPr>
    </w:p>
    <w:p w:rsidR="00CE121B" w:rsidRPr="00D76BB3" w:rsidRDefault="00CE121B" w:rsidP="00CE121B">
      <w:pPr>
        <w:spacing w:line="360" w:lineRule="auto"/>
        <w:rPr>
          <w:szCs w:val="28"/>
        </w:rPr>
      </w:pPr>
      <w:r>
        <w:rPr>
          <w:szCs w:val="28"/>
        </w:rPr>
        <w:t>Таблица 3</w:t>
      </w:r>
      <w:r w:rsidRPr="00D76BB3">
        <w:rPr>
          <w:szCs w:val="28"/>
        </w:rPr>
        <w:t xml:space="preserve">. Результаты математического расчета контрольной группы </w:t>
      </w:r>
    </w:p>
    <w:tbl>
      <w:tblPr>
        <w:tblStyle w:val="a5"/>
        <w:tblW w:w="0" w:type="auto"/>
        <w:tblLook w:val="04A0"/>
      </w:tblPr>
      <w:tblGrid>
        <w:gridCol w:w="2391"/>
        <w:gridCol w:w="3594"/>
        <w:gridCol w:w="3869"/>
      </w:tblGrid>
      <w:tr w:rsidR="00CE121B" w:rsidRPr="00195225" w:rsidTr="002D1DA5">
        <w:trPr>
          <w:trHeight w:val="300"/>
        </w:trPr>
        <w:tc>
          <w:tcPr>
            <w:tcW w:w="3220" w:type="dxa"/>
            <w:noWrap/>
            <w:vAlign w:val="center"/>
            <w:hideMark/>
          </w:tcPr>
          <w:p w:rsidR="00CE121B" w:rsidRPr="00195225" w:rsidRDefault="00CE121B" w:rsidP="002D1DA5">
            <w:pPr>
              <w:tabs>
                <w:tab w:val="left" w:pos="2655"/>
              </w:tabs>
              <w:jc w:val="center"/>
              <w:rPr>
                <w:b/>
                <w:sz w:val="24"/>
                <w:szCs w:val="24"/>
              </w:rPr>
            </w:pPr>
          </w:p>
        </w:tc>
        <w:tc>
          <w:tcPr>
            <w:tcW w:w="4880" w:type="dxa"/>
            <w:noWrap/>
            <w:vAlign w:val="center"/>
            <w:hideMark/>
          </w:tcPr>
          <w:p w:rsidR="00CE121B" w:rsidRPr="00195225" w:rsidRDefault="00CE121B" w:rsidP="002D1DA5">
            <w:pPr>
              <w:tabs>
                <w:tab w:val="left" w:pos="2655"/>
              </w:tabs>
              <w:jc w:val="center"/>
              <w:rPr>
                <w:b/>
                <w:sz w:val="24"/>
                <w:szCs w:val="24"/>
              </w:rPr>
            </w:pPr>
            <w:r w:rsidRPr="00195225">
              <w:rPr>
                <w:b/>
                <w:sz w:val="24"/>
                <w:szCs w:val="24"/>
              </w:rPr>
              <w:t xml:space="preserve">Результаты расчетов </w:t>
            </w:r>
            <w:proofErr w:type="spellStart"/>
            <w:r w:rsidRPr="00195225">
              <w:rPr>
                <w:b/>
                <w:sz w:val="24"/>
                <w:szCs w:val="24"/>
              </w:rPr>
              <w:t>котрольной</w:t>
            </w:r>
            <w:proofErr w:type="spellEnd"/>
            <w:r w:rsidRPr="00195225">
              <w:rPr>
                <w:b/>
                <w:sz w:val="24"/>
                <w:szCs w:val="24"/>
              </w:rPr>
              <w:t xml:space="preserve"> группы</w:t>
            </w:r>
          </w:p>
        </w:tc>
        <w:tc>
          <w:tcPr>
            <w:tcW w:w="5260" w:type="dxa"/>
            <w:noWrap/>
            <w:vAlign w:val="center"/>
            <w:hideMark/>
          </w:tcPr>
          <w:p w:rsidR="00CE121B" w:rsidRPr="00195225" w:rsidRDefault="00CE121B" w:rsidP="002D1DA5">
            <w:pPr>
              <w:tabs>
                <w:tab w:val="left" w:pos="2655"/>
              </w:tabs>
              <w:jc w:val="center"/>
              <w:rPr>
                <w:b/>
                <w:sz w:val="24"/>
                <w:szCs w:val="24"/>
              </w:rPr>
            </w:pPr>
            <w:r w:rsidRPr="00195225">
              <w:rPr>
                <w:b/>
                <w:sz w:val="24"/>
                <w:szCs w:val="24"/>
              </w:rPr>
              <w:t>Значение р</w:t>
            </w:r>
          </w:p>
        </w:tc>
      </w:tr>
      <w:tr w:rsidR="00CE121B" w:rsidRPr="00195225" w:rsidTr="002D1DA5">
        <w:trPr>
          <w:trHeight w:val="300"/>
        </w:trPr>
        <w:tc>
          <w:tcPr>
            <w:tcW w:w="3220" w:type="dxa"/>
            <w:noWrap/>
            <w:hideMark/>
          </w:tcPr>
          <w:p w:rsidR="00CE121B" w:rsidRPr="00195225" w:rsidRDefault="00CE121B" w:rsidP="002D1DA5">
            <w:pPr>
              <w:tabs>
                <w:tab w:val="left" w:pos="2655"/>
              </w:tabs>
              <w:rPr>
                <w:b/>
                <w:sz w:val="24"/>
                <w:szCs w:val="24"/>
              </w:rPr>
            </w:pPr>
            <w:r w:rsidRPr="00195225">
              <w:rPr>
                <w:b/>
                <w:sz w:val="24"/>
                <w:szCs w:val="24"/>
              </w:rPr>
              <w:t>I. Фаза</w:t>
            </w:r>
          </w:p>
        </w:tc>
        <w:tc>
          <w:tcPr>
            <w:tcW w:w="4880" w:type="dxa"/>
            <w:noWrap/>
            <w:hideMark/>
          </w:tcPr>
          <w:p w:rsidR="00CE121B" w:rsidRPr="00195225" w:rsidRDefault="00CE121B" w:rsidP="002D1DA5">
            <w:pPr>
              <w:tabs>
                <w:tab w:val="left" w:pos="2655"/>
              </w:tabs>
              <w:rPr>
                <w:sz w:val="24"/>
                <w:szCs w:val="24"/>
              </w:rPr>
            </w:pPr>
            <w:proofErr w:type="spellStart"/>
            <w:r w:rsidRPr="00195225">
              <w:rPr>
                <w:sz w:val="24"/>
                <w:szCs w:val="24"/>
              </w:rPr>
              <w:t>Uэмп</w:t>
            </w:r>
            <w:proofErr w:type="spellEnd"/>
            <w:r w:rsidRPr="00195225">
              <w:rPr>
                <w:sz w:val="24"/>
                <w:szCs w:val="24"/>
              </w:rPr>
              <w:t>(112) находится в зоне незначимости</w:t>
            </w:r>
          </w:p>
        </w:tc>
        <w:tc>
          <w:tcPr>
            <w:tcW w:w="5260" w:type="dxa"/>
            <w:noWrap/>
            <w:vAlign w:val="center"/>
            <w:hideMark/>
          </w:tcPr>
          <w:p w:rsidR="00CE121B" w:rsidRPr="00195225" w:rsidRDefault="00CE121B" w:rsidP="002D1DA5">
            <w:pPr>
              <w:tabs>
                <w:tab w:val="left" w:pos="2655"/>
              </w:tabs>
              <w:jc w:val="center"/>
              <w:rPr>
                <w:sz w:val="24"/>
                <w:szCs w:val="24"/>
              </w:rPr>
            </w:pPr>
            <w:r>
              <w:rPr>
                <w:sz w:val="24"/>
                <w:szCs w:val="24"/>
                <w:lang w:val="en-US"/>
              </w:rPr>
              <w:t>&gt;</w:t>
            </w:r>
            <w:r>
              <w:rPr>
                <w:sz w:val="24"/>
                <w:szCs w:val="24"/>
              </w:rPr>
              <w:t>0,</w:t>
            </w:r>
            <w:r w:rsidRPr="00195225">
              <w:rPr>
                <w:sz w:val="24"/>
                <w:szCs w:val="24"/>
              </w:rPr>
              <w:t>05</w:t>
            </w:r>
          </w:p>
        </w:tc>
      </w:tr>
      <w:tr w:rsidR="00CE121B" w:rsidRPr="00195225" w:rsidTr="002D1DA5">
        <w:trPr>
          <w:trHeight w:val="300"/>
        </w:trPr>
        <w:tc>
          <w:tcPr>
            <w:tcW w:w="3220" w:type="dxa"/>
            <w:noWrap/>
            <w:hideMark/>
          </w:tcPr>
          <w:p w:rsidR="00CE121B" w:rsidRPr="00195225" w:rsidRDefault="00CE121B" w:rsidP="002D1DA5">
            <w:pPr>
              <w:tabs>
                <w:tab w:val="left" w:pos="2655"/>
              </w:tabs>
              <w:rPr>
                <w:b/>
                <w:sz w:val="24"/>
                <w:szCs w:val="24"/>
              </w:rPr>
            </w:pPr>
            <w:r w:rsidRPr="00195225">
              <w:rPr>
                <w:b/>
                <w:sz w:val="24"/>
                <w:szCs w:val="24"/>
              </w:rPr>
              <w:t>II. Фаза</w:t>
            </w:r>
          </w:p>
        </w:tc>
        <w:tc>
          <w:tcPr>
            <w:tcW w:w="4880" w:type="dxa"/>
            <w:noWrap/>
            <w:hideMark/>
          </w:tcPr>
          <w:p w:rsidR="00CE121B" w:rsidRPr="00195225" w:rsidRDefault="00CE121B" w:rsidP="002D1DA5">
            <w:pPr>
              <w:tabs>
                <w:tab w:val="left" w:pos="2655"/>
              </w:tabs>
              <w:rPr>
                <w:sz w:val="24"/>
                <w:szCs w:val="24"/>
              </w:rPr>
            </w:pPr>
            <w:proofErr w:type="spellStart"/>
            <w:r w:rsidRPr="00195225">
              <w:rPr>
                <w:sz w:val="24"/>
                <w:szCs w:val="24"/>
              </w:rPr>
              <w:t>Uэмп</w:t>
            </w:r>
            <w:proofErr w:type="spellEnd"/>
            <w:r w:rsidRPr="00195225">
              <w:rPr>
                <w:sz w:val="24"/>
                <w:szCs w:val="24"/>
              </w:rPr>
              <w:t>(108) находится в зоне незначимости</w:t>
            </w:r>
          </w:p>
        </w:tc>
        <w:tc>
          <w:tcPr>
            <w:tcW w:w="5260" w:type="dxa"/>
            <w:noWrap/>
            <w:vAlign w:val="center"/>
            <w:hideMark/>
          </w:tcPr>
          <w:p w:rsidR="00CE121B" w:rsidRPr="00195225" w:rsidRDefault="00CE121B" w:rsidP="002D1DA5">
            <w:pPr>
              <w:tabs>
                <w:tab w:val="left" w:pos="2655"/>
              </w:tabs>
              <w:jc w:val="center"/>
              <w:rPr>
                <w:sz w:val="24"/>
                <w:szCs w:val="24"/>
              </w:rPr>
            </w:pPr>
            <w:r>
              <w:rPr>
                <w:sz w:val="24"/>
                <w:szCs w:val="24"/>
                <w:lang w:val="en-US"/>
              </w:rPr>
              <w:t>&gt;</w:t>
            </w:r>
            <w:r>
              <w:rPr>
                <w:sz w:val="24"/>
                <w:szCs w:val="24"/>
              </w:rPr>
              <w:t>0,05</w:t>
            </w:r>
          </w:p>
        </w:tc>
      </w:tr>
      <w:tr w:rsidR="00CE121B" w:rsidRPr="00195225" w:rsidTr="002D1DA5">
        <w:trPr>
          <w:trHeight w:val="300"/>
        </w:trPr>
        <w:tc>
          <w:tcPr>
            <w:tcW w:w="3220" w:type="dxa"/>
            <w:noWrap/>
            <w:hideMark/>
          </w:tcPr>
          <w:p w:rsidR="00CE121B" w:rsidRPr="00195225" w:rsidRDefault="00CE121B" w:rsidP="002D1DA5">
            <w:pPr>
              <w:tabs>
                <w:tab w:val="left" w:pos="2655"/>
              </w:tabs>
              <w:rPr>
                <w:b/>
                <w:sz w:val="24"/>
                <w:szCs w:val="24"/>
              </w:rPr>
            </w:pPr>
            <w:r w:rsidRPr="00195225">
              <w:rPr>
                <w:b/>
                <w:sz w:val="24"/>
                <w:szCs w:val="24"/>
              </w:rPr>
              <w:t>III. Фаза</w:t>
            </w:r>
          </w:p>
        </w:tc>
        <w:tc>
          <w:tcPr>
            <w:tcW w:w="4880" w:type="dxa"/>
            <w:noWrap/>
            <w:hideMark/>
          </w:tcPr>
          <w:p w:rsidR="00CE121B" w:rsidRPr="00195225" w:rsidRDefault="00CE121B" w:rsidP="002D1DA5">
            <w:pPr>
              <w:tabs>
                <w:tab w:val="left" w:pos="2655"/>
              </w:tabs>
              <w:rPr>
                <w:sz w:val="24"/>
                <w:szCs w:val="24"/>
              </w:rPr>
            </w:pPr>
            <w:proofErr w:type="spellStart"/>
            <w:r w:rsidRPr="00195225">
              <w:rPr>
                <w:sz w:val="24"/>
                <w:szCs w:val="24"/>
              </w:rPr>
              <w:t>Uэмп</w:t>
            </w:r>
            <w:proofErr w:type="spellEnd"/>
            <w:r w:rsidRPr="00195225">
              <w:rPr>
                <w:sz w:val="24"/>
                <w:szCs w:val="24"/>
              </w:rPr>
              <w:t>(112.5) находится в зоне незначимости</w:t>
            </w:r>
          </w:p>
        </w:tc>
        <w:tc>
          <w:tcPr>
            <w:tcW w:w="5260" w:type="dxa"/>
            <w:noWrap/>
            <w:vAlign w:val="center"/>
            <w:hideMark/>
          </w:tcPr>
          <w:p w:rsidR="00CE121B" w:rsidRPr="00195225" w:rsidRDefault="00CE121B" w:rsidP="002D1DA5">
            <w:pPr>
              <w:tabs>
                <w:tab w:val="left" w:pos="2655"/>
              </w:tabs>
              <w:jc w:val="center"/>
              <w:rPr>
                <w:sz w:val="24"/>
                <w:szCs w:val="24"/>
              </w:rPr>
            </w:pPr>
            <w:r>
              <w:rPr>
                <w:sz w:val="24"/>
                <w:szCs w:val="24"/>
                <w:lang w:val="en-US"/>
              </w:rPr>
              <w:t>&gt;</w:t>
            </w:r>
            <w:r>
              <w:rPr>
                <w:sz w:val="24"/>
                <w:szCs w:val="24"/>
              </w:rPr>
              <w:t>0,05</w:t>
            </w:r>
          </w:p>
        </w:tc>
      </w:tr>
      <w:tr w:rsidR="00CE121B" w:rsidRPr="00195225" w:rsidTr="002D1DA5">
        <w:trPr>
          <w:trHeight w:val="315"/>
        </w:trPr>
        <w:tc>
          <w:tcPr>
            <w:tcW w:w="3220" w:type="dxa"/>
            <w:noWrap/>
            <w:hideMark/>
          </w:tcPr>
          <w:p w:rsidR="00CE121B" w:rsidRPr="00195225" w:rsidRDefault="00CE121B" w:rsidP="002D1DA5">
            <w:pPr>
              <w:tabs>
                <w:tab w:val="left" w:pos="2655"/>
              </w:tabs>
              <w:rPr>
                <w:b/>
                <w:sz w:val="24"/>
                <w:szCs w:val="24"/>
              </w:rPr>
            </w:pPr>
            <w:r>
              <w:rPr>
                <w:b/>
                <w:sz w:val="24"/>
                <w:szCs w:val="24"/>
              </w:rPr>
              <w:t>И</w:t>
            </w:r>
            <w:r w:rsidRPr="00195225">
              <w:rPr>
                <w:b/>
                <w:sz w:val="24"/>
                <w:szCs w:val="24"/>
              </w:rPr>
              <w:t>ндекса синдрома перегорания</w:t>
            </w:r>
          </w:p>
        </w:tc>
        <w:tc>
          <w:tcPr>
            <w:tcW w:w="4880" w:type="dxa"/>
            <w:noWrap/>
            <w:hideMark/>
          </w:tcPr>
          <w:p w:rsidR="00CE121B" w:rsidRPr="00195225" w:rsidRDefault="00CE121B" w:rsidP="002D1DA5">
            <w:pPr>
              <w:tabs>
                <w:tab w:val="left" w:pos="2655"/>
              </w:tabs>
              <w:rPr>
                <w:sz w:val="24"/>
                <w:szCs w:val="24"/>
              </w:rPr>
            </w:pPr>
            <w:proofErr w:type="spellStart"/>
            <w:r w:rsidRPr="00195225">
              <w:rPr>
                <w:sz w:val="24"/>
                <w:szCs w:val="24"/>
              </w:rPr>
              <w:t>Uэмп</w:t>
            </w:r>
            <w:proofErr w:type="spellEnd"/>
            <w:r w:rsidRPr="00195225">
              <w:rPr>
                <w:sz w:val="24"/>
                <w:szCs w:val="24"/>
              </w:rPr>
              <w:t>(107.5) находится в зоне незначимости</w:t>
            </w:r>
          </w:p>
        </w:tc>
        <w:tc>
          <w:tcPr>
            <w:tcW w:w="5260" w:type="dxa"/>
            <w:noWrap/>
            <w:vAlign w:val="center"/>
            <w:hideMark/>
          </w:tcPr>
          <w:p w:rsidR="00CE121B" w:rsidRPr="00195225" w:rsidRDefault="00CE121B" w:rsidP="002D1DA5">
            <w:pPr>
              <w:tabs>
                <w:tab w:val="left" w:pos="2655"/>
              </w:tabs>
              <w:jc w:val="center"/>
              <w:rPr>
                <w:sz w:val="24"/>
                <w:szCs w:val="24"/>
              </w:rPr>
            </w:pPr>
            <w:r>
              <w:rPr>
                <w:sz w:val="24"/>
                <w:szCs w:val="24"/>
                <w:lang w:val="en-US"/>
              </w:rPr>
              <w:t>&gt;</w:t>
            </w:r>
            <w:r>
              <w:rPr>
                <w:sz w:val="24"/>
                <w:szCs w:val="24"/>
              </w:rPr>
              <w:t>0,05</w:t>
            </w:r>
          </w:p>
        </w:tc>
      </w:tr>
    </w:tbl>
    <w:p w:rsidR="00CE121B" w:rsidRPr="00D76BB3" w:rsidRDefault="00CE121B" w:rsidP="00CE121B">
      <w:pPr>
        <w:tabs>
          <w:tab w:val="left" w:pos="2655"/>
        </w:tabs>
        <w:rPr>
          <w:szCs w:val="28"/>
        </w:rPr>
      </w:pPr>
    </w:p>
    <w:p w:rsidR="00CE121B" w:rsidRDefault="00CE121B" w:rsidP="00690D0B">
      <w:pPr>
        <w:ind w:firstLine="709"/>
        <w:rPr>
          <w:color w:val="000000"/>
          <w:szCs w:val="28"/>
        </w:rPr>
      </w:pPr>
      <w:r>
        <w:rPr>
          <w:color w:val="000000"/>
          <w:szCs w:val="28"/>
        </w:rPr>
        <w:lastRenderedPageBreak/>
        <w:t xml:space="preserve">Тогда как в контрольной группе выраженных изменений по показателям эмоционального выгорания не произошло. </w:t>
      </w:r>
    </w:p>
    <w:p w:rsidR="00A376B2" w:rsidRPr="00A376B2" w:rsidRDefault="00A376B2" w:rsidP="00A376B2">
      <w:pPr>
        <w:ind w:firstLine="709"/>
        <w:rPr>
          <w:color w:val="000000"/>
          <w:szCs w:val="28"/>
        </w:rPr>
      </w:pPr>
      <w:r>
        <w:rPr>
          <w:color w:val="000000"/>
          <w:szCs w:val="28"/>
        </w:rPr>
        <w:t>Резюмируя, можно сказать</w:t>
      </w:r>
      <w:r w:rsidRPr="00A376B2">
        <w:rPr>
          <w:color w:val="000000"/>
          <w:szCs w:val="28"/>
        </w:rPr>
        <w:t>, что ситуацию с психологическим выгоранием можно смягчить. Через работу над собой педагоги могут повысить стрессоустойчивость. Нужно провести ряд работы по всем симптомам, которые входят в три фазы стресса. Для того чтобы они преступили к этой работе необходимо провести мероприятие, способное мотивировать их на изменения. Таким мероприятием как раз может и являться тренинг.</w:t>
      </w:r>
    </w:p>
    <w:p w:rsidR="00A376B2" w:rsidRPr="00A376B2" w:rsidRDefault="00A376B2" w:rsidP="00A376B2">
      <w:pPr>
        <w:ind w:firstLine="709"/>
        <w:rPr>
          <w:color w:val="000000"/>
          <w:szCs w:val="28"/>
        </w:rPr>
      </w:pPr>
      <w:r w:rsidRPr="00A376B2">
        <w:rPr>
          <w:color w:val="000000"/>
          <w:szCs w:val="28"/>
        </w:rPr>
        <w:t xml:space="preserve">Результатом тренинга являлось повышение общего уровня стрессоустойчивости, выражался этот показатель через системный индекс синдрома перегорания. Снизилась реакция на внешние раздражители, по-другому стала происходить оценка ситуации, произошли изменения в близком окружение испытуемых изменился качественный и количественный состав, более спокойно стали восприниматься факты профессиональной деятельности, с которыми ранее было тяжело смириться.  За счёт введения новым привычек здорового образа жизни, введения физических нагрузок, улучшилось физическое самочувствие, появился дополнительный приток энергии. При улучшения физического тонуса и состояния здоровья появились дополнительные ресурсы для преодоления текущих дел. Психосоматические </w:t>
      </w:r>
      <w:proofErr w:type="spellStart"/>
      <w:r w:rsidRPr="00A376B2">
        <w:rPr>
          <w:color w:val="000000"/>
          <w:szCs w:val="28"/>
        </w:rPr>
        <w:t>проевления</w:t>
      </w:r>
      <w:proofErr w:type="spellEnd"/>
      <w:r w:rsidRPr="00A376B2">
        <w:rPr>
          <w:color w:val="000000"/>
          <w:szCs w:val="28"/>
        </w:rPr>
        <w:t xml:space="preserve"> стали проявляться в меньшей степени. В целом состояние стало более удовлетворительное. Появилась уверенность в себе и своих силах.</w:t>
      </w:r>
    </w:p>
    <w:p w:rsidR="00A376B2" w:rsidRPr="00A376B2" w:rsidRDefault="00A376B2" w:rsidP="00A376B2">
      <w:pPr>
        <w:ind w:firstLine="709"/>
        <w:rPr>
          <w:color w:val="000000"/>
          <w:szCs w:val="28"/>
        </w:rPr>
      </w:pPr>
      <w:r w:rsidRPr="00A376B2">
        <w:rPr>
          <w:color w:val="000000"/>
          <w:szCs w:val="28"/>
        </w:rPr>
        <w:t xml:space="preserve">То, что можно отнести к цифрам и показателем было предоставлено выше. Проведенное исследование и проведённая </w:t>
      </w:r>
      <w:proofErr w:type="spellStart"/>
      <w:r w:rsidRPr="00A376B2">
        <w:rPr>
          <w:color w:val="000000"/>
          <w:szCs w:val="28"/>
        </w:rPr>
        <w:t>тренинговая</w:t>
      </w:r>
      <w:proofErr w:type="spellEnd"/>
      <w:r w:rsidRPr="00A376B2">
        <w:rPr>
          <w:color w:val="000000"/>
          <w:szCs w:val="28"/>
        </w:rPr>
        <w:t xml:space="preserve"> работа принесла действительно ощутимый практический результат. Так случайным образом сложилось, что в экспериментальную группу попали сотрудники художественно-эстетического отдела. Так как с их стороны было очень много представителей если исходить из всей выборки.  Как было отмеч</w:t>
      </w:r>
      <w:r>
        <w:rPr>
          <w:color w:val="000000"/>
          <w:szCs w:val="28"/>
        </w:rPr>
        <w:t>ен</w:t>
      </w:r>
      <w:r w:rsidRPr="00A376B2">
        <w:rPr>
          <w:color w:val="000000"/>
          <w:szCs w:val="28"/>
        </w:rPr>
        <w:t>о по итогам полугодия одел вышел на другой, более высокий уровень, произошёл профессиональный рост. Произошел рост показателей. Методический отдел удовлетворён работой художественно-эстетического отдела. С учётом того что художественно-эстетический отдел был на последних местах то по результатам первого полугодия ситуация изменилась коренным образом. Появились больше инициатив от педагогов. За первое полугодие о</w:t>
      </w:r>
      <w:r>
        <w:rPr>
          <w:color w:val="000000"/>
          <w:szCs w:val="28"/>
        </w:rPr>
        <w:t>т</w:t>
      </w:r>
      <w:r w:rsidRPr="00A376B2">
        <w:rPr>
          <w:color w:val="000000"/>
          <w:szCs w:val="28"/>
        </w:rPr>
        <w:t>мечено увеличение количества опубликованных статей педагогами этого отдела, увеличилось количество желающих поучаствовать в конференциях, мастер-классах. Причём не только педагоги посещали мастер-классы, но также охотно проводили, образовались творческие группы- это союзы педагогов, которые смогли объединиться для решения текущих задач. Отмечу, что ранее такие группы формировались только по инициативе методистов. Формирования групп по инициативе педагогов большая редкость для отдела, но в этом полугодии отметились педагоги, которые открылись к сотрудничеству. Количество конкурсов выставок поездок и достижений в связи с этим тоже выросло. Я являюсь сторонним наблюдателем того как ситуация изменилась после проведенного тренинга. Неизвестно насколько информация, изложенная в это</w:t>
      </w:r>
      <w:r>
        <w:rPr>
          <w:color w:val="000000"/>
          <w:szCs w:val="28"/>
        </w:rPr>
        <w:t>й</w:t>
      </w:r>
      <w:r w:rsidRPr="00A376B2">
        <w:rPr>
          <w:color w:val="000000"/>
          <w:szCs w:val="28"/>
        </w:rPr>
        <w:t xml:space="preserve"> работе будет </w:t>
      </w:r>
      <w:r w:rsidRPr="00A376B2">
        <w:rPr>
          <w:color w:val="000000"/>
          <w:szCs w:val="28"/>
        </w:rPr>
        <w:lastRenderedPageBreak/>
        <w:t>полезно</w:t>
      </w:r>
      <w:r>
        <w:rPr>
          <w:color w:val="000000"/>
          <w:szCs w:val="28"/>
        </w:rPr>
        <w:t>й</w:t>
      </w:r>
      <w:r w:rsidRPr="00A376B2">
        <w:rPr>
          <w:color w:val="000000"/>
          <w:szCs w:val="28"/>
        </w:rPr>
        <w:t xml:space="preserve"> для других. Но определенный эффект и результат она принесла для педагогов дворца творчества детей и молодежи.</w:t>
      </w:r>
    </w:p>
    <w:p w:rsidR="00A376B2" w:rsidRPr="00A376B2" w:rsidRDefault="00A376B2" w:rsidP="00A376B2">
      <w:pPr>
        <w:ind w:firstLine="709"/>
        <w:rPr>
          <w:color w:val="000000"/>
          <w:szCs w:val="28"/>
        </w:rPr>
      </w:pPr>
      <w:r w:rsidRPr="00A376B2">
        <w:rPr>
          <w:color w:val="000000"/>
          <w:szCs w:val="28"/>
        </w:rPr>
        <w:t xml:space="preserve">Для самих участников было участие в исследовании интересно. По многим комментариям я узнала, что педагоги познакомили сами с собой. Искренни признались себе в том, чего они хотят делать и чего не хотят. С чем не могут смириться. Ответили сами на те вопросы, которые стеснялись себе задавать. Принялись выполнять то, что откладывали в долгий ящик. Стали более открытых друг другу. В какой-то степени ушёл дух конкуренции и появился дух сотрудничества. Посетившие тренинг после прохождения контрольного тестирования отметили у себя положительный результат увидели это в цифровых показателях. </w:t>
      </w:r>
    </w:p>
    <w:p w:rsidR="00A376B2" w:rsidRPr="00A376B2" w:rsidRDefault="00A376B2" w:rsidP="00A376B2">
      <w:pPr>
        <w:ind w:firstLine="709"/>
        <w:rPr>
          <w:color w:val="000000"/>
          <w:szCs w:val="28"/>
        </w:rPr>
      </w:pPr>
      <w:r w:rsidRPr="00A376B2">
        <w:rPr>
          <w:color w:val="000000"/>
          <w:szCs w:val="28"/>
        </w:rPr>
        <w:t>Это общее проведенное исследование породило большое количество личных побед педагогов. Так для примера, педагог, который 20 лет не проводил никакой работы по саморазвитию и получал порицание со всех с</w:t>
      </w:r>
      <w:r>
        <w:rPr>
          <w:color w:val="000000"/>
          <w:szCs w:val="28"/>
        </w:rPr>
        <w:t xml:space="preserve">торон на всевозможных собраниях, </w:t>
      </w:r>
      <w:r w:rsidRPr="00A376B2">
        <w:rPr>
          <w:color w:val="000000"/>
          <w:szCs w:val="28"/>
        </w:rPr>
        <w:t>впервые за эти долгие годы напечатал статью, поучаствовал в конференци</w:t>
      </w:r>
      <w:r>
        <w:rPr>
          <w:color w:val="000000"/>
          <w:szCs w:val="28"/>
        </w:rPr>
        <w:t>и</w:t>
      </w:r>
      <w:r w:rsidRPr="00A376B2">
        <w:rPr>
          <w:color w:val="000000"/>
          <w:szCs w:val="28"/>
        </w:rPr>
        <w:t xml:space="preserve"> и получил призовое место. Чем удивил всех. Сам педагог оценил свой поступок как высокое достижение - преодоление своего страха и победу над собой. Появилась гордость за себя, повысилась самооценка и изменилась восприятие своих профессиональных обязанностей, деятельность стала восприниматься как что-то не такое уж и трудное и </w:t>
      </w:r>
      <w:proofErr w:type="spellStart"/>
      <w:r w:rsidRPr="00A376B2">
        <w:rPr>
          <w:color w:val="000000"/>
          <w:szCs w:val="28"/>
        </w:rPr>
        <w:t>энергозатратное</w:t>
      </w:r>
      <w:proofErr w:type="spellEnd"/>
      <w:r w:rsidRPr="00A376B2">
        <w:rPr>
          <w:color w:val="000000"/>
          <w:szCs w:val="28"/>
        </w:rPr>
        <w:t>.</w:t>
      </w:r>
    </w:p>
    <w:p w:rsidR="00DE56C3" w:rsidRDefault="00A376B2" w:rsidP="00A376B2">
      <w:pPr>
        <w:ind w:firstLine="709"/>
        <w:rPr>
          <w:color w:val="000000"/>
          <w:szCs w:val="28"/>
        </w:rPr>
      </w:pPr>
      <w:r w:rsidRPr="00A376B2">
        <w:rPr>
          <w:color w:val="000000"/>
          <w:szCs w:val="28"/>
        </w:rPr>
        <w:t xml:space="preserve">Основным выводами этой работы может быть то, что психологическое выгорание педагогов имеет место быть. Есть рекомендации по выходу из состояния профессионального выгорания, но эффективность этих рекомендаций зависит от того сколько усилий приложит «выгоревший» педагог. Получается некий замкнутой круг. Есть стресс, который порождает эмоциональное истощение, не хватает сил для решения текущих задач. А выход из этой ситуации требует сил, которых уже нет. Мое субъективное мнение таково, что без сторонней поддержки педагогу не выйти из состояния стресса, связанного с профессиональной деятельностью.Так же нужна система просвещения </w:t>
      </w:r>
      <w:r>
        <w:rPr>
          <w:color w:val="000000"/>
          <w:szCs w:val="28"/>
        </w:rPr>
        <w:t xml:space="preserve">по </w:t>
      </w:r>
      <w:r w:rsidRPr="00A376B2">
        <w:rPr>
          <w:color w:val="000000"/>
          <w:szCs w:val="28"/>
        </w:rPr>
        <w:t>вопрос</w:t>
      </w:r>
      <w:r>
        <w:rPr>
          <w:color w:val="000000"/>
          <w:szCs w:val="28"/>
        </w:rPr>
        <w:t>ам</w:t>
      </w:r>
      <w:r w:rsidRPr="00A376B2">
        <w:rPr>
          <w:color w:val="000000"/>
          <w:szCs w:val="28"/>
        </w:rPr>
        <w:t xml:space="preserve"> в области стрессоустойчивости и профессионального выгорания, чтобы педагог мог распознать симптомы и своевременно принять меры. Или хотя бы своевременно обратиться за помощью.</w:t>
      </w:r>
    </w:p>
    <w:p w:rsidR="00CE121B" w:rsidRPr="00052D00" w:rsidRDefault="00CE121B" w:rsidP="00690D0B">
      <w:pPr>
        <w:ind w:firstLine="709"/>
        <w:rPr>
          <w:color w:val="000000"/>
          <w:szCs w:val="28"/>
        </w:rPr>
      </w:pPr>
    </w:p>
    <w:p w:rsidR="007F6AAA" w:rsidRDefault="007F6AAA"/>
    <w:sectPr w:rsidR="007F6AAA" w:rsidSect="0001171F">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yandex-sans">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2B35A2"/>
    <w:multiLevelType w:val="multilevel"/>
    <w:tmpl w:val="3EC0A924"/>
    <w:lvl w:ilvl="0">
      <w:start w:val="1"/>
      <w:numFmt w:val="upperRoman"/>
      <w:lvlText w:val="%1."/>
      <w:lvlJc w:val="left"/>
      <w:pPr>
        <w:ind w:left="1080" w:hanging="72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451CD"/>
    <w:rsid w:val="0001171F"/>
    <w:rsid w:val="001B0BFC"/>
    <w:rsid w:val="002D0EAC"/>
    <w:rsid w:val="00354018"/>
    <w:rsid w:val="006178C4"/>
    <w:rsid w:val="00690D0B"/>
    <w:rsid w:val="007F5A7F"/>
    <w:rsid w:val="007F6AAA"/>
    <w:rsid w:val="008158D5"/>
    <w:rsid w:val="008451CD"/>
    <w:rsid w:val="00A376B2"/>
    <w:rsid w:val="00A63C64"/>
    <w:rsid w:val="00BB2AB7"/>
    <w:rsid w:val="00CE121B"/>
    <w:rsid w:val="00DE56C3"/>
    <w:rsid w:val="00E447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51CD"/>
    <w:pPr>
      <w:spacing w:after="0" w:line="240" w:lineRule="auto"/>
      <w:jc w:val="both"/>
    </w:pPr>
    <w:rPr>
      <w:rFonts w:ascii="Times New Roman" w:eastAsia="Times New Roman" w:hAnsi="Times New Roman" w:cs="Times New Roman"/>
      <w:sz w:val="28"/>
      <w:szCs w:val="20"/>
      <w:lang w:eastAsia="ru-RU"/>
    </w:rPr>
  </w:style>
  <w:style w:type="paragraph" w:styleId="2">
    <w:name w:val="heading 2"/>
    <w:basedOn w:val="a"/>
    <w:link w:val="20"/>
    <w:uiPriority w:val="9"/>
    <w:qFormat/>
    <w:rsid w:val="00CE121B"/>
    <w:pPr>
      <w:spacing w:before="100" w:beforeAutospacing="1" w:after="100" w:afterAutospacing="1"/>
      <w:jc w:val="left"/>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iPriority w:val="99"/>
    <w:unhideWhenUsed/>
    <w:rsid w:val="008451CD"/>
    <w:pPr>
      <w:spacing w:before="100" w:beforeAutospacing="1" w:after="100" w:afterAutospacing="1"/>
      <w:jc w:val="left"/>
    </w:pPr>
    <w:rPr>
      <w:sz w:val="24"/>
      <w:szCs w:val="24"/>
    </w:rPr>
  </w:style>
  <w:style w:type="character" w:customStyle="1" w:styleId="a4">
    <w:name w:val="Обычный (веб) Знак"/>
    <w:basedOn w:val="a0"/>
    <w:link w:val="a3"/>
    <w:uiPriority w:val="99"/>
    <w:locked/>
    <w:rsid w:val="008451CD"/>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CE121B"/>
    <w:rPr>
      <w:rFonts w:ascii="Times New Roman" w:eastAsia="Times New Roman" w:hAnsi="Times New Roman" w:cs="Times New Roman"/>
      <w:b/>
      <w:bCs/>
      <w:sz w:val="36"/>
      <w:szCs w:val="36"/>
      <w:lang w:eastAsia="ru-RU"/>
    </w:rPr>
  </w:style>
  <w:style w:type="table" w:styleId="a5">
    <w:name w:val="Table Grid"/>
    <w:basedOn w:val="a1"/>
    <w:uiPriority w:val="39"/>
    <w:rsid w:val="00CE12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73566619">
      <w:bodyDiv w:val="1"/>
      <w:marLeft w:val="0"/>
      <w:marRight w:val="0"/>
      <w:marTop w:val="0"/>
      <w:marBottom w:val="0"/>
      <w:divBdr>
        <w:top w:val="none" w:sz="0" w:space="0" w:color="auto"/>
        <w:left w:val="none" w:sz="0" w:space="0" w:color="auto"/>
        <w:bottom w:val="none" w:sz="0" w:space="0" w:color="auto"/>
        <w:right w:val="none" w:sz="0" w:space="0" w:color="auto"/>
      </w:divBdr>
    </w:div>
    <w:div w:id="1256862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1922</Words>
  <Characters>10957</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KraKen</dc:creator>
  <cp:keywords/>
  <dc:description/>
  <cp:lastModifiedBy>adawo</cp:lastModifiedBy>
  <cp:revision>15</cp:revision>
  <dcterms:created xsi:type="dcterms:W3CDTF">2021-02-16T13:47:00Z</dcterms:created>
  <dcterms:modified xsi:type="dcterms:W3CDTF">2024-10-31T16:10:00Z</dcterms:modified>
</cp:coreProperties>
</file>