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BADCBF">
      <w:pPr>
        <w:jc w:val="center"/>
        <w:rPr>
          <w:rFonts w:ascii="Times New Roman" w:hAnsi="Times New Roman" w:eastAsia="Calibri"/>
          <w:b/>
        </w:rPr>
      </w:pPr>
      <w:r>
        <w:rPr>
          <w:rFonts w:ascii="Times New Roman" w:hAnsi="Times New Roman" w:eastAsia="Calibri"/>
          <w:b/>
        </w:rPr>
        <w:t>Программа творческих занятий</w:t>
      </w:r>
    </w:p>
    <w:p w14:paraId="24571F0D">
      <w:pPr>
        <w:jc w:val="center"/>
        <w:rPr>
          <w:rFonts w:ascii="Times New Roman" w:hAnsi="Times New Roman" w:eastAsia="Calibri"/>
          <w:b/>
        </w:rPr>
      </w:pPr>
      <w:r>
        <w:rPr>
          <w:rFonts w:ascii="Times New Roman" w:hAnsi="Times New Roman" w:eastAsia="Calibri"/>
          <w:b/>
        </w:rPr>
        <w:t>«АРТ-КНИГА»</w:t>
      </w:r>
    </w:p>
    <w:p w14:paraId="63284AB3">
      <w:pPr>
        <w:spacing w:line="360" w:lineRule="auto"/>
        <w:jc w:val="center"/>
        <w:rPr>
          <w:rFonts w:ascii="Times New Roman" w:hAnsi="Times New Roman" w:eastAsia="Calibri"/>
          <w:b/>
        </w:rPr>
      </w:pPr>
      <w:r>
        <w:rPr>
          <w:rFonts w:ascii="Times New Roman" w:hAnsi="Times New Roman" w:eastAsia="Calibri"/>
          <w:b/>
        </w:rPr>
        <w:t>Пояснительная записка</w:t>
      </w:r>
    </w:p>
    <w:p w14:paraId="16729CC2">
      <w:pPr>
        <w:spacing w:line="360" w:lineRule="auto"/>
        <w:jc w:val="both"/>
        <w:rPr>
          <w:rFonts w:ascii="Times New Roman" w:hAnsi="Times New Roman"/>
        </w:rPr>
      </w:pPr>
      <w:r>
        <w:rPr>
          <w:rFonts w:ascii="Times New Roman" w:hAnsi="Times New Roman"/>
        </w:rPr>
        <w:t xml:space="preserve">Детские годы во многом влияют на дальнейшую жизнь человека, на формирование его внутреннего характера. Младший школьный возраст, по мнению ученых, является наиболее сензитивным периодом формирования нравственных качеств. Младшему школьнику, </w:t>
      </w:r>
      <w:r>
        <w:rPr>
          <w:rFonts w:ascii="Times New Roman" w:hAnsi="Times New Roman"/>
          <w:shd w:val="clear" w:color="auto" w:fill="FFFFFF"/>
        </w:rPr>
        <w:t xml:space="preserve">живущему в 21 веке, веке техники и компьютеризации, нелегко привить интерес к чтению. Мотивацией может стать ощущение успеха в процессе чтения или после. </w:t>
      </w:r>
      <w:r>
        <w:rPr>
          <w:rFonts w:ascii="Times New Roman" w:hAnsi="Times New Roman"/>
        </w:rPr>
        <w:t>Поэтому важно научить ребенка ориентироваться в окружающем мире, осуществлять жизненный выбор, опираясь на нравственные ценности, реализовывать себя в деятельности, способствующей духовному развитию. Такой деятельностью является творчество, где ребенок познает самого себя и окружающий мир.</w:t>
      </w:r>
    </w:p>
    <w:p w14:paraId="0FA2023A">
      <w:pPr>
        <w:spacing w:line="360" w:lineRule="auto"/>
        <w:jc w:val="both"/>
        <w:rPr>
          <w:rFonts w:ascii="Times New Roman" w:hAnsi="Times New Roman"/>
        </w:rPr>
      </w:pPr>
      <w:r>
        <w:rPr>
          <w:rFonts w:ascii="Times New Roman" w:hAnsi="Times New Roman"/>
        </w:rPr>
        <w:t xml:space="preserve">Творческие занятия позволят раскрыть творческий потенциал каждого ребенка, где в конечном итоге – его успешная самореализация и самовыражение. Тем самым закладывается фундамент успешной жизнедеятельности ребенка в будущем. </w:t>
      </w:r>
    </w:p>
    <w:p w14:paraId="5BDF5B44">
      <w:pPr>
        <w:spacing w:line="360" w:lineRule="auto"/>
        <w:jc w:val="both"/>
        <w:rPr>
          <w:rFonts w:ascii="Times New Roman" w:hAnsi="Times New Roman"/>
        </w:rPr>
      </w:pPr>
      <w:r>
        <w:rPr>
          <w:rFonts w:ascii="Times New Roman" w:hAnsi="Times New Roman"/>
        </w:rPr>
        <w:t>Программа посвящена современным формам работы библиотеки по привлечению детей к чтению посредством создания собственного продукта через изобразительное искусство и декоративно-прикладное творчество.</w:t>
      </w:r>
    </w:p>
    <w:p w14:paraId="114A0B13">
      <w:pPr>
        <w:spacing w:line="360" w:lineRule="auto"/>
        <w:jc w:val="both"/>
        <w:rPr>
          <w:rFonts w:ascii="Times New Roman" w:hAnsi="Times New Roman"/>
        </w:rPr>
      </w:pPr>
      <w:r>
        <w:rPr>
          <w:rFonts w:ascii="Times New Roman" w:hAnsi="Times New Roman"/>
        </w:rPr>
        <w:t>Структура занятий:</w:t>
      </w:r>
    </w:p>
    <w:p w14:paraId="1B7B5E52">
      <w:pPr>
        <w:numPr>
          <w:ilvl w:val="0"/>
          <w:numId w:val="1"/>
        </w:numPr>
        <w:spacing w:line="360" w:lineRule="auto"/>
        <w:jc w:val="both"/>
        <w:rPr>
          <w:rFonts w:ascii="Liberation Serif" w:hAnsi="Liberation Serif" w:cs="Liberation Serif"/>
        </w:rPr>
      </w:pPr>
      <w:r>
        <w:rPr>
          <w:rFonts w:ascii="Times New Roman" w:hAnsi="Times New Roman"/>
        </w:rPr>
        <w:t>Знакомство с произведением и краткой биографией автора произведения.</w:t>
      </w:r>
    </w:p>
    <w:p w14:paraId="324B367F">
      <w:pPr>
        <w:numPr>
          <w:ilvl w:val="0"/>
          <w:numId w:val="1"/>
        </w:numPr>
        <w:spacing w:line="360" w:lineRule="auto"/>
        <w:jc w:val="both"/>
        <w:rPr>
          <w:rFonts w:ascii="Liberation Serif" w:hAnsi="Liberation Serif" w:cs="Liberation Serif"/>
        </w:rPr>
      </w:pPr>
      <w:r>
        <w:rPr>
          <w:rFonts w:ascii="Times New Roman" w:hAnsi="Times New Roman"/>
        </w:rPr>
        <w:t>Чтение отрывка художественного произведения.</w:t>
      </w:r>
    </w:p>
    <w:p w14:paraId="1999AB06">
      <w:pPr>
        <w:numPr>
          <w:ilvl w:val="0"/>
          <w:numId w:val="1"/>
        </w:numPr>
        <w:spacing w:line="360" w:lineRule="auto"/>
        <w:jc w:val="both"/>
        <w:rPr>
          <w:rFonts w:ascii="Liberation Serif" w:hAnsi="Liberation Serif" w:cs="Liberation Serif"/>
        </w:rPr>
      </w:pPr>
      <w:r>
        <w:rPr>
          <w:rFonts w:ascii="Times New Roman" w:hAnsi="Times New Roman"/>
        </w:rPr>
        <w:t>Выполнение творческой работы по сюжету произведения.</w:t>
      </w:r>
    </w:p>
    <w:p w14:paraId="2D987F4B">
      <w:pPr>
        <w:spacing w:line="360" w:lineRule="auto"/>
        <w:jc w:val="both"/>
        <w:rPr>
          <w:rFonts w:ascii="Times New Roman" w:hAnsi="Times New Roman"/>
        </w:rPr>
      </w:pPr>
      <w:r>
        <w:rPr>
          <w:rFonts w:ascii="Times New Roman" w:hAnsi="Times New Roman"/>
        </w:rPr>
        <w:t>Программа занятий предназначена для детей 7 – 12 лет. Занятия проводятся в период учебного года (с октября по май) 1 раз в месяц в течение 1,5 – 2 часов. Количество детей в группе – 8 – 12 человек.</w:t>
      </w:r>
    </w:p>
    <w:p w14:paraId="4E7CCADF">
      <w:pPr>
        <w:rPr>
          <w:rFonts w:ascii="Times New Roman" w:hAnsi="Times New Roman" w:eastAsia="Calibri"/>
          <w:b/>
        </w:rPr>
      </w:pPr>
    </w:p>
    <w:p w14:paraId="55436C7D"/>
    <w:p w14:paraId="06E89340"/>
    <w:p w14:paraId="24443923">
      <w:pPr>
        <w:jc w:val="center"/>
        <w:rPr>
          <w:rFonts w:ascii="Times New Roman" w:hAnsi="Times New Roman" w:eastAsia="Calibri"/>
          <w:b/>
          <w:shd w:val="clear" w:color="auto" w:fill="FFFFFF"/>
        </w:rPr>
      </w:pPr>
      <w:r>
        <w:rPr>
          <w:rFonts w:ascii="Times New Roman" w:hAnsi="Times New Roman" w:eastAsia="Calibri"/>
          <w:b/>
          <w:shd w:val="clear" w:color="auto" w:fill="FFFFFF"/>
        </w:rPr>
        <w:t>Занятие «Арт-книга» как одна из форм культурно-досуговой деятельности</w:t>
      </w:r>
    </w:p>
    <w:p w14:paraId="1B7BA4BE">
      <w:pPr>
        <w:jc w:val="center"/>
        <w:rPr>
          <w:rFonts w:ascii="Times New Roman" w:hAnsi="Times New Roman" w:eastAsia="Calibri"/>
          <w:b/>
          <w:shd w:val="clear" w:color="auto" w:fill="FFFFFF"/>
        </w:rPr>
      </w:pPr>
      <w:r>
        <w:rPr>
          <w:rFonts w:ascii="Times New Roman" w:hAnsi="Times New Roman" w:eastAsia="Calibri"/>
          <w:b/>
          <w:shd w:val="clear" w:color="auto" w:fill="FFFFFF"/>
        </w:rPr>
        <w:t xml:space="preserve"> в детской библиотеке</w:t>
      </w:r>
    </w:p>
    <w:p w14:paraId="763CA4CF">
      <w:pPr>
        <w:spacing w:line="360" w:lineRule="auto"/>
        <w:contextualSpacing/>
        <w:jc w:val="both"/>
        <w:rPr>
          <w:rFonts w:ascii="Times New Roman" w:hAnsi="Times New Roman"/>
        </w:rPr>
      </w:pPr>
      <w:r>
        <w:rPr>
          <w:rFonts w:ascii="Times New Roman" w:hAnsi="Times New Roman"/>
          <w:b/>
        </w:rPr>
        <w:t>Арт-книга</w:t>
      </w:r>
      <w:r>
        <w:rPr>
          <w:rFonts w:ascii="Times New Roman" w:hAnsi="Times New Roman"/>
        </w:rPr>
        <w:t xml:space="preserve"> – комплекс творческих занятий, направленных на знакомство детей с художественной литературой российских авторов и в соответствии с возрастной категорией. Занятия проводятся в сотрудничестве библиотеки и центром дополнительного образования.  Для того, чтобы заинтересовать слушателей и побудить их к дальнейшему прочтению произведения, библиотекарь кратко рассказывает сюжет книги, зачитывает небольшие отрывки из нее, проходит обсуждение услышанного. С помощью руководителя изо-студии школьники выполняют творческую работу в разной художественной технике: пластилинография, восковые мелки и акварель, гуашь, оттиск смятой бумаги, декоративная работа с элементами дизайна. Чтобы дети ярче восприняли и запомнили представленную книгу, им предлагаются различные задания. Например, нарисовать главного героя произведения, изобразить обложку книги в своей интерпретации, придумать комиксы по содержанию или выполнить коллективную творческую работу. В конце учебного года готовится выставка работ, проходит награждение участников.</w:t>
      </w:r>
    </w:p>
    <w:p w14:paraId="4912CD01">
      <w:pPr>
        <w:spacing w:line="360" w:lineRule="auto"/>
        <w:contextualSpacing/>
        <w:jc w:val="both"/>
        <w:rPr>
          <w:rFonts w:ascii="Times New Roman" w:hAnsi="Times New Roman"/>
        </w:rPr>
      </w:pPr>
      <w:r>
        <w:rPr>
          <w:rFonts w:ascii="Times New Roman" w:hAnsi="Times New Roman"/>
        </w:rPr>
        <w:t>Задача этой программы – отталкиваясь от детских интересов, привести их к книге, стимулировать мотивацию к чтению, способствовать активной читательской деятельности. Такая форма организации досуга используется для привлечения читателей со схожими интересами, увлеченных одним делом. Для создания творческих занятий большое значение имеет инициатива библиотекаря, его творческий потенциал, умение заинтересовать детей.</w:t>
      </w:r>
    </w:p>
    <w:p w14:paraId="7EF4BB03">
      <w:pPr>
        <w:spacing w:line="360" w:lineRule="auto"/>
        <w:contextualSpacing/>
        <w:jc w:val="center"/>
        <w:rPr>
          <w:rFonts w:ascii="Times New Roman" w:hAnsi="Times New Roman"/>
          <w:b/>
        </w:rPr>
      </w:pPr>
      <w:r>
        <w:rPr>
          <w:rFonts w:ascii="Times New Roman" w:hAnsi="Times New Roman"/>
          <w:b/>
        </w:rPr>
        <w:t>Основные этапы подготовки и проведения творческих занятий «Арт-книга»:</w:t>
      </w:r>
    </w:p>
    <w:p w14:paraId="11BAB009">
      <w:pPr>
        <w:spacing w:line="360" w:lineRule="auto"/>
        <w:contextualSpacing/>
        <w:jc w:val="both"/>
        <w:rPr>
          <w:rFonts w:ascii="Times New Roman" w:hAnsi="Times New Roman"/>
          <w:b/>
        </w:rPr>
      </w:pPr>
      <w:r>
        <w:rPr>
          <w:rFonts w:ascii="Times New Roman" w:hAnsi="Times New Roman"/>
          <w:b/>
        </w:rPr>
        <w:t>На подготовительном этапе:</w:t>
      </w:r>
    </w:p>
    <w:p w14:paraId="6F073616">
      <w:pPr>
        <w:pStyle w:val="7"/>
        <w:numPr>
          <w:ilvl w:val="0"/>
          <w:numId w:val="2"/>
        </w:numPr>
        <w:spacing w:line="360" w:lineRule="auto"/>
        <w:jc w:val="both"/>
        <w:rPr>
          <w:rFonts w:ascii="Times New Roman" w:hAnsi="Times New Roman"/>
        </w:rPr>
      </w:pPr>
      <w:r>
        <w:rPr>
          <w:rFonts w:ascii="Times New Roman" w:hAnsi="Times New Roman"/>
        </w:rPr>
        <w:t>определяется тема мероприятий, целевое и читательское назначение;</w:t>
      </w:r>
    </w:p>
    <w:p w14:paraId="0530592B">
      <w:pPr>
        <w:pStyle w:val="7"/>
        <w:numPr>
          <w:ilvl w:val="0"/>
          <w:numId w:val="2"/>
        </w:numPr>
        <w:spacing w:line="360" w:lineRule="auto"/>
        <w:jc w:val="both"/>
        <w:rPr>
          <w:rFonts w:ascii="Times New Roman" w:hAnsi="Times New Roman"/>
        </w:rPr>
      </w:pPr>
      <w:r>
        <w:rPr>
          <w:rFonts w:ascii="Times New Roman" w:hAnsi="Times New Roman"/>
        </w:rPr>
        <w:t>изучение и подбор необходимой литературы;</w:t>
      </w:r>
    </w:p>
    <w:p w14:paraId="6BD14492">
      <w:pPr>
        <w:pStyle w:val="7"/>
        <w:numPr>
          <w:ilvl w:val="0"/>
          <w:numId w:val="2"/>
        </w:numPr>
        <w:spacing w:line="360" w:lineRule="auto"/>
        <w:jc w:val="both"/>
        <w:rPr>
          <w:rFonts w:ascii="Times New Roman" w:hAnsi="Times New Roman"/>
        </w:rPr>
      </w:pPr>
      <w:r>
        <w:rPr>
          <w:rFonts w:ascii="Times New Roman" w:hAnsi="Times New Roman"/>
        </w:rPr>
        <w:t>организация творческих контактов, установление связей с учреждениями;</w:t>
      </w:r>
    </w:p>
    <w:p w14:paraId="3F0D655E">
      <w:pPr>
        <w:pStyle w:val="7"/>
        <w:numPr>
          <w:ilvl w:val="0"/>
          <w:numId w:val="2"/>
        </w:numPr>
        <w:spacing w:line="360" w:lineRule="auto"/>
        <w:jc w:val="both"/>
        <w:rPr>
          <w:rFonts w:ascii="Times New Roman" w:hAnsi="Times New Roman"/>
        </w:rPr>
      </w:pPr>
      <w:r>
        <w:rPr>
          <w:rFonts w:ascii="Times New Roman" w:hAnsi="Times New Roman"/>
        </w:rPr>
        <w:t>определение и формирование состава организаторов и участников;</w:t>
      </w:r>
    </w:p>
    <w:p w14:paraId="535D122B">
      <w:pPr>
        <w:pStyle w:val="7"/>
        <w:numPr>
          <w:ilvl w:val="0"/>
          <w:numId w:val="2"/>
        </w:numPr>
        <w:spacing w:line="360" w:lineRule="auto"/>
        <w:jc w:val="both"/>
        <w:rPr>
          <w:rFonts w:ascii="Times New Roman" w:hAnsi="Times New Roman"/>
        </w:rPr>
      </w:pPr>
      <w:r>
        <w:rPr>
          <w:rFonts w:ascii="Times New Roman" w:hAnsi="Times New Roman"/>
        </w:rPr>
        <w:t>разработка основных форм содержания деятельности;</w:t>
      </w:r>
    </w:p>
    <w:p w14:paraId="75507632">
      <w:pPr>
        <w:pStyle w:val="7"/>
        <w:numPr>
          <w:ilvl w:val="0"/>
          <w:numId w:val="2"/>
        </w:numPr>
        <w:spacing w:line="360" w:lineRule="auto"/>
        <w:jc w:val="both"/>
        <w:rPr>
          <w:rFonts w:ascii="Times New Roman" w:hAnsi="Times New Roman"/>
        </w:rPr>
      </w:pPr>
      <w:r>
        <w:rPr>
          <w:rFonts w:ascii="Times New Roman" w:hAnsi="Times New Roman"/>
        </w:rPr>
        <w:t>определение места, времени, дат проведения и продолжительность;</w:t>
      </w:r>
    </w:p>
    <w:p w14:paraId="57E9162A">
      <w:pPr>
        <w:pStyle w:val="7"/>
        <w:numPr>
          <w:ilvl w:val="0"/>
          <w:numId w:val="2"/>
        </w:numPr>
        <w:spacing w:line="360" w:lineRule="auto"/>
        <w:jc w:val="both"/>
        <w:rPr>
          <w:rFonts w:ascii="Times New Roman" w:hAnsi="Times New Roman"/>
        </w:rPr>
      </w:pPr>
      <w:r>
        <w:rPr>
          <w:rFonts w:ascii="Times New Roman" w:hAnsi="Times New Roman"/>
        </w:rPr>
        <w:t>составление программы творческих занятий;</w:t>
      </w:r>
    </w:p>
    <w:p w14:paraId="407B0C22">
      <w:pPr>
        <w:pStyle w:val="7"/>
        <w:numPr>
          <w:ilvl w:val="0"/>
          <w:numId w:val="2"/>
        </w:numPr>
        <w:spacing w:line="360" w:lineRule="auto"/>
        <w:jc w:val="both"/>
        <w:rPr>
          <w:rFonts w:ascii="Times New Roman" w:hAnsi="Times New Roman"/>
        </w:rPr>
      </w:pPr>
      <w:r>
        <w:rPr>
          <w:rFonts w:ascii="Times New Roman" w:hAnsi="Times New Roman"/>
        </w:rPr>
        <w:t>реклама «Арт-книги», приглашение организованной группы учащихся;</w:t>
      </w:r>
    </w:p>
    <w:p w14:paraId="05282E3F">
      <w:pPr>
        <w:pStyle w:val="7"/>
        <w:numPr>
          <w:ilvl w:val="0"/>
          <w:numId w:val="2"/>
        </w:numPr>
        <w:spacing w:line="360" w:lineRule="auto"/>
        <w:jc w:val="both"/>
        <w:rPr>
          <w:rFonts w:ascii="Times New Roman" w:hAnsi="Times New Roman"/>
        </w:rPr>
      </w:pPr>
      <w:r>
        <w:rPr>
          <w:rFonts w:ascii="Times New Roman" w:hAnsi="Times New Roman"/>
        </w:rPr>
        <w:t>разработка структуры мероприятий.</w:t>
      </w:r>
    </w:p>
    <w:p w14:paraId="31A5C332">
      <w:pPr>
        <w:pStyle w:val="7"/>
        <w:spacing w:line="360" w:lineRule="auto"/>
        <w:jc w:val="both"/>
        <w:rPr>
          <w:rFonts w:ascii="Times New Roman" w:hAnsi="Times New Roman"/>
          <w:b/>
        </w:rPr>
      </w:pPr>
      <w:r>
        <w:rPr>
          <w:rFonts w:ascii="Times New Roman" w:hAnsi="Times New Roman"/>
          <w:b/>
        </w:rPr>
        <w:t>На основном этапе:</w:t>
      </w:r>
    </w:p>
    <w:p w14:paraId="1BA278AB">
      <w:pPr>
        <w:pStyle w:val="7"/>
        <w:numPr>
          <w:ilvl w:val="0"/>
          <w:numId w:val="3"/>
        </w:numPr>
        <w:spacing w:line="360" w:lineRule="auto"/>
        <w:jc w:val="both"/>
        <w:rPr>
          <w:rFonts w:ascii="Times New Roman" w:hAnsi="Times New Roman"/>
        </w:rPr>
      </w:pPr>
      <w:r>
        <w:rPr>
          <w:rFonts w:ascii="Times New Roman" w:hAnsi="Times New Roman"/>
        </w:rPr>
        <w:t>проходит подготовка помещения для создания комфортных условий;</w:t>
      </w:r>
    </w:p>
    <w:p w14:paraId="1457220C">
      <w:pPr>
        <w:pStyle w:val="7"/>
        <w:numPr>
          <w:ilvl w:val="0"/>
          <w:numId w:val="3"/>
        </w:numPr>
        <w:spacing w:line="360" w:lineRule="auto"/>
        <w:jc w:val="both"/>
        <w:rPr>
          <w:rFonts w:ascii="Times New Roman" w:hAnsi="Times New Roman"/>
        </w:rPr>
      </w:pPr>
      <w:r>
        <w:rPr>
          <w:rFonts w:ascii="Times New Roman" w:hAnsi="Times New Roman"/>
        </w:rPr>
        <w:t xml:space="preserve">проведение массового мероприятия: </w:t>
      </w:r>
    </w:p>
    <w:p w14:paraId="71D54FAB">
      <w:pPr>
        <w:spacing w:line="360" w:lineRule="auto"/>
        <w:jc w:val="both"/>
        <w:rPr>
          <w:rFonts w:ascii="Times New Roman" w:hAnsi="Times New Roman"/>
        </w:rPr>
      </w:pPr>
      <w:r>
        <w:rPr>
          <w:rFonts w:ascii="Times New Roman" w:hAnsi="Times New Roman"/>
        </w:rPr>
        <w:t>Мероприятие лучше начать с приема «коммуникативной атаки», чтобы вызвать интерес, привлечь внимание детей (начать неожиданно, оригинально, задать вопрос, связанный с интересами детей или рассказать захватывающую историю, связанную с темой занятия).</w:t>
      </w:r>
    </w:p>
    <w:p w14:paraId="32D2FCB2">
      <w:pPr>
        <w:spacing w:line="360" w:lineRule="auto"/>
        <w:jc w:val="both"/>
        <w:rPr>
          <w:rFonts w:ascii="Times New Roman" w:hAnsi="Times New Roman"/>
        </w:rPr>
      </w:pPr>
      <w:r>
        <w:rPr>
          <w:rFonts w:ascii="Times New Roman" w:hAnsi="Times New Roman"/>
        </w:rPr>
        <w:t>Каждое занятие включает в себя:</w:t>
      </w:r>
    </w:p>
    <w:p w14:paraId="7A150A4D">
      <w:pPr>
        <w:pStyle w:val="7"/>
        <w:numPr>
          <w:ilvl w:val="0"/>
          <w:numId w:val="4"/>
        </w:numPr>
        <w:spacing w:line="360" w:lineRule="auto"/>
        <w:jc w:val="both"/>
        <w:rPr>
          <w:rFonts w:ascii="Times New Roman" w:hAnsi="Times New Roman"/>
        </w:rPr>
      </w:pPr>
      <w:r>
        <w:rPr>
          <w:rFonts w:ascii="Times New Roman" w:hAnsi="Times New Roman"/>
        </w:rPr>
        <w:t>знакомство с жизнью и творчеством детского писателя;</w:t>
      </w:r>
    </w:p>
    <w:p w14:paraId="4BA1D520">
      <w:pPr>
        <w:pStyle w:val="7"/>
        <w:numPr>
          <w:ilvl w:val="0"/>
          <w:numId w:val="4"/>
        </w:numPr>
        <w:spacing w:line="360" w:lineRule="auto"/>
        <w:jc w:val="both"/>
        <w:rPr>
          <w:rFonts w:ascii="Times New Roman" w:hAnsi="Times New Roman"/>
        </w:rPr>
      </w:pPr>
      <w:r>
        <w:rPr>
          <w:rFonts w:ascii="Times New Roman" w:hAnsi="Times New Roman"/>
        </w:rPr>
        <w:t>чтение вслух отрывков художественного произведения;</w:t>
      </w:r>
    </w:p>
    <w:p w14:paraId="5D629E99">
      <w:pPr>
        <w:pStyle w:val="7"/>
        <w:numPr>
          <w:ilvl w:val="0"/>
          <w:numId w:val="4"/>
        </w:numPr>
        <w:spacing w:line="360" w:lineRule="auto"/>
        <w:jc w:val="both"/>
        <w:rPr>
          <w:rFonts w:ascii="Times New Roman" w:hAnsi="Times New Roman"/>
        </w:rPr>
      </w:pPr>
      <w:r>
        <w:rPr>
          <w:rFonts w:ascii="Times New Roman" w:hAnsi="Times New Roman"/>
        </w:rPr>
        <w:t>динамическую паузу, составленную на основе изучаемого произведения;</w:t>
      </w:r>
    </w:p>
    <w:p w14:paraId="780EFEB2">
      <w:pPr>
        <w:pStyle w:val="7"/>
        <w:numPr>
          <w:ilvl w:val="0"/>
          <w:numId w:val="4"/>
        </w:numPr>
        <w:spacing w:line="360" w:lineRule="auto"/>
        <w:jc w:val="both"/>
        <w:rPr>
          <w:rFonts w:ascii="Times New Roman" w:hAnsi="Times New Roman"/>
        </w:rPr>
      </w:pPr>
      <w:r>
        <w:rPr>
          <w:rFonts w:ascii="Times New Roman" w:hAnsi="Times New Roman"/>
        </w:rPr>
        <w:t>творческая работа, во время которой дети проявляют свою фантазию.</w:t>
      </w:r>
    </w:p>
    <w:p w14:paraId="7DB975D5">
      <w:pPr>
        <w:pStyle w:val="7"/>
        <w:numPr>
          <w:ilvl w:val="0"/>
          <w:numId w:val="4"/>
        </w:numPr>
        <w:spacing w:line="360" w:lineRule="auto"/>
        <w:jc w:val="both"/>
        <w:rPr>
          <w:rFonts w:ascii="Times New Roman" w:hAnsi="Times New Roman"/>
        </w:rPr>
      </w:pPr>
      <w:r>
        <w:rPr>
          <w:rFonts w:ascii="Times New Roman" w:hAnsi="Times New Roman"/>
        </w:rPr>
        <w:t>последействие (оценка мероприятия участниками, закладка интереса на будущее занятие).</w:t>
      </w:r>
    </w:p>
    <w:p w14:paraId="4E4BD148">
      <w:pPr>
        <w:pStyle w:val="7"/>
        <w:spacing w:line="360" w:lineRule="auto"/>
        <w:jc w:val="both"/>
        <w:rPr>
          <w:rFonts w:ascii="Times New Roman" w:hAnsi="Times New Roman"/>
        </w:rPr>
      </w:pPr>
      <w:r>
        <w:rPr>
          <w:rFonts w:ascii="Times New Roman" w:hAnsi="Times New Roman"/>
          <w:b/>
        </w:rPr>
        <w:t>В заключение</w:t>
      </w:r>
      <w:r>
        <w:rPr>
          <w:rFonts w:ascii="Times New Roman" w:hAnsi="Times New Roman"/>
        </w:rPr>
        <w:t xml:space="preserve"> творческих занятий «Арт-книга» проводится их анализ, готовится фотоотчет на сайте учреждения, публикация в СМИ. </w:t>
      </w:r>
    </w:p>
    <w:p w14:paraId="77383F78">
      <w:pPr>
        <w:jc w:val="center"/>
        <w:rPr>
          <w:rFonts w:ascii="Times New Roman" w:hAnsi="Times New Roman" w:eastAsia="Calibri"/>
          <w:b/>
        </w:rPr>
      </w:pPr>
      <w:r>
        <w:rPr>
          <w:rFonts w:ascii="Times New Roman" w:hAnsi="Times New Roman" w:eastAsia="Calibri"/>
          <w:b/>
        </w:rPr>
        <w:t>ПЛАН ПРОВЕДЕНИЯ ЗАНЯТИЙ</w:t>
      </w:r>
    </w:p>
    <w:p w14:paraId="7400E91B">
      <w:pPr>
        <w:contextualSpacing/>
        <w:jc w:val="center"/>
        <w:rPr>
          <w:rFonts w:ascii="Times New Roman" w:hAnsi="Times New Roman" w:eastAsia="Calibri"/>
          <w:b/>
        </w:rPr>
      </w:pPr>
      <w:r>
        <w:rPr>
          <w:rFonts w:ascii="Times New Roman" w:hAnsi="Times New Roman" w:eastAsia="Calibri"/>
          <w:b/>
        </w:rPr>
        <w:t xml:space="preserve"> </w:t>
      </w:r>
    </w:p>
    <w:tbl>
      <w:tblPr>
        <w:tblStyle w:val="6"/>
        <w:tblW w:w="0" w:type="auto"/>
        <w:tblInd w:w="0" w:type="dxa"/>
        <w:tblLayout w:type="autofit"/>
        <w:tblCellMar>
          <w:top w:w="15" w:type="dxa"/>
          <w:left w:w="15" w:type="dxa"/>
          <w:bottom w:w="15" w:type="dxa"/>
          <w:right w:w="15" w:type="dxa"/>
        </w:tblCellMar>
      </w:tblPr>
      <w:tblGrid>
        <w:gridCol w:w="847"/>
        <w:gridCol w:w="5199"/>
        <w:gridCol w:w="3339"/>
      </w:tblGrid>
      <w:tr w14:paraId="0148A4CF">
        <w:tblPrEx>
          <w:tblCellMar>
            <w:top w:w="15" w:type="dxa"/>
            <w:left w:w="15" w:type="dxa"/>
            <w:bottom w:w="15" w:type="dxa"/>
            <w:right w:w="15" w:type="dxa"/>
          </w:tblCellMar>
        </w:tblPrEx>
        <w:tc>
          <w:tcPr>
            <w:tcW w:w="990" w:type="dxa"/>
            <w:tcBorders>
              <w:top w:val="outset" w:color="auto" w:sz="6" w:space="0"/>
              <w:left w:val="outset" w:color="auto" w:sz="6" w:space="0"/>
              <w:bottom w:val="outset" w:color="auto" w:sz="6" w:space="0"/>
              <w:right w:val="outset" w:color="auto" w:sz="6" w:space="0"/>
            </w:tcBorders>
          </w:tcPr>
          <w:p w14:paraId="0B44F03F">
            <w:pPr>
              <w:contextualSpacing/>
              <w:rPr>
                <w:rFonts w:ascii="Times New Roman" w:hAnsi="Times New Roman"/>
                <w:b/>
              </w:rPr>
            </w:pPr>
            <w:r>
              <w:rPr>
                <w:rFonts w:ascii="Times New Roman" w:hAnsi="Times New Roman"/>
                <w:b/>
              </w:rPr>
              <w:t>№</w:t>
            </w:r>
          </w:p>
        </w:tc>
        <w:tc>
          <w:tcPr>
            <w:tcW w:w="6090" w:type="dxa"/>
            <w:tcBorders>
              <w:top w:val="outset" w:color="auto" w:sz="6" w:space="0"/>
              <w:left w:val="outset" w:color="auto" w:sz="6" w:space="0"/>
              <w:bottom w:val="outset" w:color="auto" w:sz="6" w:space="0"/>
              <w:right w:val="outset" w:color="auto" w:sz="6" w:space="0"/>
            </w:tcBorders>
          </w:tcPr>
          <w:p w14:paraId="4777D79A">
            <w:pPr>
              <w:contextualSpacing/>
              <w:rPr>
                <w:rFonts w:ascii="Times New Roman" w:hAnsi="Times New Roman"/>
                <w:b/>
              </w:rPr>
            </w:pPr>
            <w:r>
              <w:rPr>
                <w:rFonts w:ascii="Times New Roman" w:hAnsi="Times New Roman"/>
                <w:b/>
              </w:rPr>
              <w:t>Художественное произведение</w:t>
            </w:r>
          </w:p>
        </w:tc>
        <w:tc>
          <w:tcPr>
            <w:tcW w:w="3675" w:type="dxa"/>
            <w:tcBorders>
              <w:top w:val="outset" w:color="auto" w:sz="6" w:space="0"/>
              <w:left w:val="outset" w:color="auto" w:sz="6" w:space="0"/>
              <w:bottom w:val="outset" w:color="auto" w:sz="6" w:space="0"/>
              <w:right w:val="outset" w:color="auto" w:sz="6" w:space="0"/>
            </w:tcBorders>
          </w:tcPr>
          <w:p w14:paraId="2C844D70">
            <w:pPr>
              <w:contextualSpacing/>
              <w:rPr>
                <w:rFonts w:ascii="Times New Roman" w:hAnsi="Times New Roman"/>
                <w:b/>
              </w:rPr>
            </w:pPr>
            <w:r>
              <w:rPr>
                <w:rFonts w:ascii="Times New Roman" w:hAnsi="Times New Roman"/>
                <w:b/>
              </w:rPr>
              <w:t>Творческая работа</w:t>
            </w:r>
          </w:p>
        </w:tc>
      </w:tr>
      <w:tr w14:paraId="5B843A91">
        <w:tblPrEx>
          <w:tblCellMar>
            <w:top w:w="15" w:type="dxa"/>
            <w:left w:w="15" w:type="dxa"/>
            <w:bottom w:w="15" w:type="dxa"/>
            <w:right w:w="15" w:type="dxa"/>
          </w:tblCellMar>
        </w:tblPrEx>
        <w:tc>
          <w:tcPr>
            <w:tcW w:w="990" w:type="dxa"/>
            <w:tcBorders>
              <w:top w:val="nil"/>
              <w:left w:val="outset" w:color="auto" w:sz="6" w:space="0"/>
              <w:bottom w:val="outset" w:color="auto" w:sz="6" w:space="0"/>
              <w:right w:val="outset" w:color="auto" w:sz="6" w:space="0"/>
            </w:tcBorders>
          </w:tcPr>
          <w:p w14:paraId="3800D27C">
            <w:pPr>
              <w:contextualSpacing/>
              <w:rPr>
                <w:rFonts w:ascii="Times New Roman" w:hAnsi="Times New Roman"/>
              </w:rPr>
            </w:pPr>
            <w:r>
              <w:rPr>
                <w:rFonts w:ascii="Times New Roman" w:hAnsi="Times New Roman"/>
              </w:rPr>
              <w:t>1</w:t>
            </w:r>
          </w:p>
        </w:tc>
        <w:tc>
          <w:tcPr>
            <w:tcW w:w="6090" w:type="dxa"/>
            <w:tcBorders>
              <w:top w:val="nil"/>
              <w:left w:val="outset" w:color="auto" w:sz="6" w:space="0"/>
              <w:bottom w:val="outset" w:color="auto" w:sz="6" w:space="0"/>
              <w:right w:val="outset" w:color="auto" w:sz="6" w:space="0"/>
            </w:tcBorders>
          </w:tcPr>
          <w:p w14:paraId="3A219A6A">
            <w:pPr>
              <w:contextualSpacing/>
              <w:rPr>
                <w:rFonts w:ascii="Times New Roman" w:hAnsi="Times New Roman"/>
              </w:rPr>
            </w:pPr>
            <w:r>
              <w:rPr>
                <w:rFonts w:ascii="Times New Roman" w:hAnsi="Times New Roman"/>
              </w:rPr>
              <w:t>И. Ольшанский «Невезучка»</w:t>
            </w:r>
          </w:p>
        </w:tc>
        <w:tc>
          <w:tcPr>
            <w:tcW w:w="3675" w:type="dxa"/>
            <w:tcBorders>
              <w:top w:val="nil"/>
              <w:left w:val="outset" w:color="auto" w:sz="6" w:space="0"/>
              <w:bottom w:val="outset" w:color="auto" w:sz="6" w:space="0"/>
              <w:right w:val="outset" w:color="auto" w:sz="6" w:space="0"/>
            </w:tcBorders>
          </w:tcPr>
          <w:p w14:paraId="39BBCFAF">
            <w:pPr>
              <w:contextualSpacing/>
              <w:rPr>
                <w:rFonts w:ascii="Times New Roman" w:hAnsi="Times New Roman"/>
              </w:rPr>
            </w:pPr>
            <w:r>
              <w:rPr>
                <w:rFonts w:ascii="Times New Roman" w:hAnsi="Times New Roman"/>
              </w:rPr>
              <w:t>Рисование обложки к произведению</w:t>
            </w:r>
          </w:p>
        </w:tc>
      </w:tr>
      <w:tr w14:paraId="71C56348">
        <w:tblPrEx>
          <w:tblCellMar>
            <w:top w:w="15" w:type="dxa"/>
            <w:left w:w="15" w:type="dxa"/>
            <w:bottom w:w="15" w:type="dxa"/>
            <w:right w:w="15" w:type="dxa"/>
          </w:tblCellMar>
        </w:tblPrEx>
        <w:tc>
          <w:tcPr>
            <w:tcW w:w="990" w:type="dxa"/>
            <w:tcBorders>
              <w:top w:val="nil"/>
              <w:left w:val="outset" w:color="auto" w:sz="6" w:space="0"/>
              <w:bottom w:val="outset" w:color="auto" w:sz="6" w:space="0"/>
              <w:right w:val="outset" w:color="auto" w:sz="6" w:space="0"/>
            </w:tcBorders>
          </w:tcPr>
          <w:p w14:paraId="2F197D67">
            <w:pPr>
              <w:contextualSpacing/>
              <w:rPr>
                <w:rFonts w:ascii="Times New Roman" w:hAnsi="Times New Roman"/>
              </w:rPr>
            </w:pPr>
            <w:r>
              <w:rPr>
                <w:rFonts w:ascii="Times New Roman" w:hAnsi="Times New Roman"/>
              </w:rPr>
              <w:t>2</w:t>
            </w:r>
          </w:p>
        </w:tc>
        <w:tc>
          <w:tcPr>
            <w:tcW w:w="6090" w:type="dxa"/>
            <w:tcBorders>
              <w:top w:val="nil"/>
              <w:left w:val="outset" w:color="auto" w:sz="6" w:space="0"/>
              <w:bottom w:val="outset" w:color="auto" w:sz="6" w:space="0"/>
              <w:right w:val="outset" w:color="auto" w:sz="6" w:space="0"/>
            </w:tcBorders>
          </w:tcPr>
          <w:p w14:paraId="0423243A">
            <w:pPr>
              <w:contextualSpacing/>
              <w:rPr>
                <w:rFonts w:ascii="Times New Roman" w:hAnsi="Times New Roman"/>
              </w:rPr>
            </w:pPr>
            <w:r>
              <w:rPr>
                <w:rFonts w:ascii="Times New Roman" w:hAnsi="Times New Roman"/>
              </w:rPr>
              <w:t>Ю. Симбирская «Здравствуй, Таня!»</w:t>
            </w:r>
          </w:p>
        </w:tc>
        <w:tc>
          <w:tcPr>
            <w:tcW w:w="3675" w:type="dxa"/>
            <w:tcBorders>
              <w:top w:val="nil"/>
              <w:left w:val="outset" w:color="auto" w:sz="6" w:space="0"/>
              <w:bottom w:val="outset" w:color="auto" w:sz="6" w:space="0"/>
              <w:right w:val="outset" w:color="auto" w:sz="6" w:space="0"/>
            </w:tcBorders>
          </w:tcPr>
          <w:p w14:paraId="4BFC9676">
            <w:pPr>
              <w:contextualSpacing/>
              <w:rPr>
                <w:rFonts w:ascii="Times New Roman" w:hAnsi="Times New Roman"/>
              </w:rPr>
            </w:pPr>
            <w:r>
              <w:rPr>
                <w:rFonts w:ascii="Times New Roman" w:hAnsi="Times New Roman"/>
              </w:rPr>
              <w:t>Создание серии комиксов по сюжету произведения</w:t>
            </w:r>
          </w:p>
        </w:tc>
      </w:tr>
      <w:tr w14:paraId="723DB346">
        <w:tblPrEx>
          <w:tblCellMar>
            <w:top w:w="15" w:type="dxa"/>
            <w:left w:w="15" w:type="dxa"/>
            <w:bottom w:w="15" w:type="dxa"/>
            <w:right w:w="15" w:type="dxa"/>
          </w:tblCellMar>
        </w:tblPrEx>
        <w:tc>
          <w:tcPr>
            <w:tcW w:w="990" w:type="dxa"/>
            <w:tcBorders>
              <w:top w:val="nil"/>
              <w:left w:val="outset" w:color="auto" w:sz="6" w:space="0"/>
              <w:bottom w:val="outset" w:color="auto" w:sz="6" w:space="0"/>
              <w:right w:val="outset" w:color="auto" w:sz="6" w:space="0"/>
            </w:tcBorders>
          </w:tcPr>
          <w:p w14:paraId="0C7E3157">
            <w:pPr>
              <w:contextualSpacing/>
              <w:rPr>
                <w:rFonts w:ascii="Times New Roman" w:hAnsi="Times New Roman"/>
              </w:rPr>
            </w:pPr>
            <w:r>
              <w:rPr>
                <w:rFonts w:ascii="Times New Roman" w:hAnsi="Times New Roman"/>
              </w:rPr>
              <w:t>3</w:t>
            </w:r>
          </w:p>
        </w:tc>
        <w:tc>
          <w:tcPr>
            <w:tcW w:w="6090" w:type="dxa"/>
            <w:tcBorders>
              <w:top w:val="nil"/>
              <w:left w:val="outset" w:color="auto" w:sz="6" w:space="0"/>
              <w:bottom w:val="outset" w:color="auto" w:sz="6" w:space="0"/>
              <w:right w:val="outset" w:color="auto" w:sz="6" w:space="0"/>
            </w:tcBorders>
          </w:tcPr>
          <w:p w14:paraId="029D7770">
            <w:pPr>
              <w:contextualSpacing/>
              <w:rPr>
                <w:rFonts w:ascii="Times New Roman" w:hAnsi="Times New Roman"/>
              </w:rPr>
            </w:pPr>
            <w:r>
              <w:rPr>
                <w:rFonts w:ascii="Times New Roman" w:hAnsi="Times New Roman"/>
              </w:rPr>
              <w:t>А. Усачев «Чудеса в Дедморозовке»</w:t>
            </w:r>
          </w:p>
        </w:tc>
        <w:tc>
          <w:tcPr>
            <w:tcW w:w="3675" w:type="dxa"/>
            <w:tcBorders>
              <w:top w:val="nil"/>
              <w:left w:val="outset" w:color="auto" w:sz="6" w:space="0"/>
              <w:bottom w:val="outset" w:color="auto" w:sz="6" w:space="0"/>
              <w:right w:val="outset" w:color="auto" w:sz="6" w:space="0"/>
            </w:tcBorders>
          </w:tcPr>
          <w:p w14:paraId="1ADA00DC">
            <w:pPr>
              <w:contextualSpacing/>
              <w:rPr>
                <w:rFonts w:ascii="Times New Roman" w:hAnsi="Times New Roman"/>
              </w:rPr>
            </w:pPr>
            <w:r>
              <w:rPr>
                <w:rFonts w:ascii="Times New Roman" w:hAnsi="Times New Roman"/>
              </w:rPr>
              <w:t>Работа с бросовым материалом</w:t>
            </w:r>
          </w:p>
          <w:p w14:paraId="56860FAB">
            <w:pPr>
              <w:contextualSpacing/>
              <w:rPr>
                <w:rFonts w:ascii="Times New Roman" w:hAnsi="Times New Roman"/>
              </w:rPr>
            </w:pPr>
            <w:r>
              <w:rPr>
                <w:rFonts w:ascii="Times New Roman" w:hAnsi="Times New Roman"/>
              </w:rPr>
              <w:t>«Снеговики»</w:t>
            </w:r>
          </w:p>
        </w:tc>
      </w:tr>
      <w:tr w14:paraId="3E09819C">
        <w:tblPrEx>
          <w:tblCellMar>
            <w:top w:w="15" w:type="dxa"/>
            <w:left w:w="15" w:type="dxa"/>
            <w:bottom w:w="15" w:type="dxa"/>
            <w:right w:w="15" w:type="dxa"/>
          </w:tblCellMar>
        </w:tblPrEx>
        <w:tc>
          <w:tcPr>
            <w:tcW w:w="990" w:type="dxa"/>
            <w:tcBorders>
              <w:top w:val="nil"/>
              <w:left w:val="outset" w:color="auto" w:sz="6" w:space="0"/>
              <w:bottom w:val="outset" w:color="auto" w:sz="6" w:space="0"/>
              <w:right w:val="outset" w:color="auto" w:sz="6" w:space="0"/>
            </w:tcBorders>
          </w:tcPr>
          <w:p w14:paraId="161F4D23">
            <w:pPr>
              <w:contextualSpacing/>
              <w:rPr>
                <w:rFonts w:ascii="Times New Roman" w:hAnsi="Times New Roman"/>
              </w:rPr>
            </w:pPr>
            <w:r>
              <w:rPr>
                <w:rFonts w:ascii="Times New Roman" w:hAnsi="Times New Roman"/>
              </w:rPr>
              <w:t>4</w:t>
            </w:r>
          </w:p>
        </w:tc>
        <w:tc>
          <w:tcPr>
            <w:tcW w:w="6090" w:type="dxa"/>
            <w:tcBorders>
              <w:top w:val="nil"/>
              <w:left w:val="outset" w:color="auto" w:sz="6" w:space="0"/>
              <w:bottom w:val="outset" w:color="auto" w:sz="6" w:space="0"/>
              <w:right w:val="outset" w:color="auto" w:sz="6" w:space="0"/>
            </w:tcBorders>
          </w:tcPr>
          <w:p w14:paraId="11046027">
            <w:pPr>
              <w:contextualSpacing/>
              <w:rPr>
                <w:rFonts w:ascii="Times New Roman" w:hAnsi="Times New Roman"/>
              </w:rPr>
            </w:pPr>
            <w:r>
              <w:rPr>
                <w:rFonts w:ascii="Times New Roman" w:hAnsi="Times New Roman"/>
              </w:rPr>
              <w:t>Ю. Евграфова «Щенок Питер и Несгрызаемая кость»</w:t>
            </w:r>
          </w:p>
        </w:tc>
        <w:tc>
          <w:tcPr>
            <w:tcW w:w="3675" w:type="dxa"/>
            <w:tcBorders>
              <w:top w:val="nil"/>
              <w:left w:val="outset" w:color="auto" w:sz="6" w:space="0"/>
              <w:bottom w:val="outset" w:color="auto" w:sz="6" w:space="0"/>
              <w:right w:val="outset" w:color="auto" w:sz="6" w:space="0"/>
            </w:tcBorders>
          </w:tcPr>
          <w:p w14:paraId="2E26DD4F">
            <w:pPr>
              <w:contextualSpacing/>
              <w:rPr>
                <w:rFonts w:ascii="Times New Roman" w:hAnsi="Times New Roman"/>
              </w:rPr>
            </w:pPr>
            <w:r>
              <w:rPr>
                <w:rFonts w:ascii="Times New Roman" w:hAnsi="Times New Roman"/>
              </w:rPr>
              <w:t>Пластилинография</w:t>
            </w:r>
          </w:p>
          <w:p w14:paraId="1C7FFFE7">
            <w:pPr>
              <w:contextualSpacing/>
              <w:rPr>
                <w:rFonts w:ascii="Times New Roman" w:hAnsi="Times New Roman"/>
              </w:rPr>
            </w:pPr>
            <w:r>
              <w:rPr>
                <w:rFonts w:ascii="Times New Roman" w:hAnsi="Times New Roman"/>
              </w:rPr>
              <w:t>«Главный герой произведения»</w:t>
            </w:r>
          </w:p>
        </w:tc>
      </w:tr>
      <w:tr w14:paraId="4F497B65">
        <w:tblPrEx>
          <w:tblCellMar>
            <w:top w:w="15" w:type="dxa"/>
            <w:left w:w="15" w:type="dxa"/>
            <w:bottom w:w="15" w:type="dxa"/>
            <w:right w:w="15" w:type="dxa"/>
          </w:tblCellMar>
        </w:tblPrEx>
        <w:tc>
          <w:tcPr>
            <w:tcW w:w="990" w:type="dxa"/>
            <w:tcBorders>
              <w:top w:val="nil"/>
              <w:left w:val="outset" w:color="auto" w:sz="6" w:space="0"/>
              <w:bottom w:val="outset" w:color="auto" w:sz="6" w:space="0"/>
              <w:right w:val="outset" w:color="auto" w:sz="6" w:space="0"/>
            </w:tcBorders>
          </w:tcPr>
          <w:p w14:paraId="2F76C67B">
            <w:pPr>
              <w:contextualSpacing/>
              <w:rPr>
                <w:rFonts w:ascii="Times New Roman" w:hAnsi="Times New Roman"/>
              </w:rPr>
            </w:pPr>
            <w:r>
              <w:rPr>
                <w:rFonts w:ascii="Times New Roman" w:hAnsi="Times New Roman"/>
              </w:rPr>
              <w:t>5</w:t>
            </w:r>
          </w:p>
        </w:tc>
        <w:tc>
          <w:tcPr>
            <w:tcW w:w="6090" w:type="dxa"/>
            <w:tcBorders>
              <w:top w:val="nil"/>
              <w:left w:val="outset" w:color="auto" w:sz="6" w:space="0"/>
              <w:bottom w:val="outset" w:color="auto" w:sz="6" w:space="0"/>
              <w:right w:val="outset" w:color="auto" w:sz="6" w:space="0"/>
            </w:tcBorders>
          </w:tcPr>
          <w:p w14:paraId="562A7263">
            <w:pPr>
              <w:contextualSpacing/>
              <w:rPr>
                <w:rFonts w:ascii="Times New Roman" w:hAnsi="Times New Roman"/>
              </w:rPr>
            </w:pPr>
            <w:r>
              <w:rPr>
                <w:rFonts w:ascii="Times New Roman" w:hAnsi="Times New Roman"/>
              </w:rPr>
              <w:t>А. Никольская «Папатека»</w:t>
            </w:r>
          </w:p>
        </w:tc>
        <w:tc>
          <w:tcPr>
            <w:tcW w:w="3675" w:type="dxa"/>
            <w:tcBorders>
              <w:top w:val="nil"/>
              <w:left w:val="outset" w:color="auto" w:sz="6" w:space="0"/>
              <w:bottom w:val="outset" w:color="auto" w:sz="6" w:space="0"/>
              <w:right w:val="outset" w:color="auto" w:sz="6" w:space="0"/>
            </w:tcBorders>
          </w:tcPr>
          <w:p w14:paraId="775C5836">
            <w:pPr>
              <w:contextualSpacing/>
              <w:rPr>
                <w:rFonts w:ascii="Times New Roman" w:hAnsi="Times New Roman"/>
              </w:rPr>
            </w:pPr>
            <w:r>
              <w:rPr>
                <w:rFonts w:ascii="Times New Roman" w:hAnsi="Times New Roman"/>
              </w:rPr>
              <w:t>Подарок папе</w:t>
            </w:r>
          </w:p>
          <w:p w14:paraId="102D8F49">
            <w:pPr>
              <w:contextualSpacing/>
              <w:rPr>
                <w:rFonts w:ascii="Times New Roman" w:hAnsi="Times New Roman"/>
              </w:rPr>
            </w:pPr>
            <w:r>
              <w:rPr>
                <w:rFonts w:ascii="Times New Roman" w:hAnsi="Times New Roman"/>
              </w:rPr>
              <w:t>«Портрет папы»</w:t>
            </w:r>
          </w:p>
        </w:tc>
      </w:tr>
      <w:tr w14:paraId="69FF6264">
        <w:tblPrEx>
          <w:tblCellMar>
            <w:top w:w="15" w:type="dxa"/>
            <w:left w:w="15" w:type="dxa"/>
            <w:bottom w:w="15" w:type="dxa"/>
            <w:right w:w="15" w:type="dxa"/>
          </w:tblCellMar>
        </w:tblPrEx>
        <w:tc>
          <w:tcPr>
            <w:tcW w:w="990" w:type="dxa"/>
            <w:tcBorders>
              <w:top w:val="nil"/>
              <w:left w:val="outset" w:color="auto" w:sz="6" w:space="0"/>
              <w:bottom w:val="outset" w:color="auto" w:sz="6" w:space="0"/>
              <w:right w:val="outset" w:color="auto" w:sz="6" w:space="0"/>
            </w:tcBorders>
          </w:tcPr>
          <w:p w14:paraId="58B49BA3">
            <w:pPr>
              <w:contextualSpacing/>
              <w:rPr>
                <w:rFonts w:ascii="Times New Roman" w:hAnsi="Times New Roman"/>
              </w:rPr>
            </w:pPr>
            <w:r>
              <w:rPr>
                <w:rFonts w:ascii="Times New Roman" w:hAnsi="Times New Roman"/>
              </w:rPr>
              <w:t>6</w:t>
            </w:r>
          </w:p>
        </w:tc>
        <w:tc>
          <w:tcPr>
            <w:tcW w:w="6090" w:type="dxa"/>
            <w:tcBorders>
              <w:top w:val="nil"/>
              <w:left w:val="outset" w:color="auto" w:sz="6" w:space="0"/>
              <w:bottom w:val="outset" w:color="auto" w:sz="6" w:space="0"/>
              <w:right w:val="outset" w:color="auto" w:sz="6" w:space="0"/>
            </w:tcBorders>
          </w:tcPr>
          <w:p w14:paraId="56BA62CD">
            <w:pPr>
              <w:contextualSpacing/>
              <w:rPr>
                <w:rFonts w:ascii="Times New Roman" w:hAnsi="Times New Roman"/>
              </w:rPr>
            </w:pPr>
            <w:r>
              <w:rPr>
                <w:rFonts w:ascii="Times New Roman" w:hAnsi="Times New Roman"/>
              </w:rPr>
              <w:t>И. Наумова «Куцехвост и иностранный шпион»</w:t>
            </w:r>
          </w:p>
        </w:tc>
        <w:tc>
          <w:tcPr>
            <w:tcW w:w="3675" w:type="dxa"/>
            <w:tcBorders>
              <w:top w:val="nil"/>
              <w:left w:val="outset" w:color="auto" w:sz="6" w:space="0"/>
              <w:bottom w:val="outset" w:color="auto" w:sz="6" w:space="0"/>
              <w:right w:val="outset" w:color="auto" w:sz="6" w:space="0"/>
            </w:tcBorders>
          </w:tcPr>
          <w:p w14:paraId="46835D20">
            <w:pPr>
              <w:contextualSpacing/>
              <w:rPr>
                <w:rFonts w:ascii="Times New Roman" w:hAnsi="Times New Roman"/>
              </w:rPr>
            </w:pPr>
            <w:r>
              <w:rPr>
                <w:rFonts w:ascii="Times New Roman" w:hAnsi="Times New Roman"/>
              </w:rPr>
              <w:t>Рисование главных героев. Коллективная работа.</w:t>
            </w:r>
          </w:p>
        </w:tc>
      </w:tr>
      <w:tr w14:paraId="06D11280">
        <w:tblPrEx>
          <w:tblCellMar>
            <w:top w:w="15" w:type="dxa"/>
            <w:left w:w="15" w:type="dxa"/>
            <w:bottom w:w="15" w:type="dxa"/>
            <w:right w:w="15" w:type="dxa"/>
          </w:tblCellMar>
        </w:tblPrEx>
        <w:tc>
          <w:tcPr>
            <w:tcW w:w="990" w:type="dxa"/>
            <w:tcBorders>
              <w:top w:val="nil"/>
              <w:left w:val="outset" w:color="auto" w:sz="6" w:space="0"/>
              <w:bottom w:val="outset" w:color="auto" w:sz="6" w:space="0"/>
              <w:right w:val="outset" w:color="auto" w:sz="6" w:space="0"/>
            </w:tcBorders>
          </w:tcPr>
          <w:p w14:paraId="7EE218E7">
            <w:pPr>
              <w:contextualSpacing/>
              <w:rPr>
                <w:rFonts w:ascii="Times New Roman" w:hAnsi="Times New Roman"/>
              </w:rPr>
            </w:pPr>
            <w:r>
              <w:rPr>
                <w:rFonts w:ascii="Times New Roman" w:hAnsi="Times New Roman"/>
              </w:rPr>
              <w:t>7</w:t>
            </w:r>
          </w:p>
        </w:tc>
        <w:tc>
          <w:tcPr>
            <w:tcW w:w="6090" w:type="dxa"/>
            <w:tcBorders>
              <w:top w:val="nil"/>
              <w:left w:val="outset" w:color="auto" w:sz="6" w:space="0"/>
              <w:bottom w:val="outset" w:color="auto" w:sz="6" w:space="0"/>
              <w:right w:val="outset" w:color="auto" w:sz="6" w:space="0"/>
            </w:tcBorders>
          </w:tcPr>
          <w:p w14:paraId="5166726A">
            <w:pPr>
              <w:contextualSpacing/>
              <w:rPr>
                <w:rFonts w:ascii="Times New Roman" w:hAnsi="Times New Roman"/>
              </w:rPr>
            </w:pPr>
            <w:r>
              <w:rPr>
                <w:rFonts w:ascii="Times New Roman" w:hAnsi="Times New Roman"/>
              </w:rPr>
              <w:t>Н. Карпова «Тайна книжного шкафа»</w:t>
            </w:r>
          </w:p>
        </w:tc>
        <w:tc>
          <w:tcPr>
            <w:tcW w:w="3675" w:type="dxa"/>
            <w:tcBorders>
              <w:top w:val="nil"/>
              <w:left w:val="outset" w:color="auto" w:sz="6" w:space="0"/>
              <w:bottom w:val="outset" w:color="auto" w:sz="6" w:space="0"/>
              <w:right w:val="outset" w:color="auto" w:sz="6" w:space="0"/>
            </w:tcBorders>
          </w:tcPr>
          <w:p w14:paraId="367A6BF0">
            <w:pPr>
              <w:contextualSpacing/>
              <w:rPr>
                <w:rFonts w:ascii="Times New Roman" w:hAnsi="Times New Roman"/>
              </w:rPr>
            </w:pPr>
            <w:r>
              <w:rPr>
                <w:rFonts w:ascii="Times New Roman" w:hAnsi="Times New Roman"/>
              </w:rPr>
              <w:t>Изготовление книжного шкафа из картона.</w:t>
            </w:r>
          </w:p>
          <w:p w14:paraId="3212D821">
            <w:pPr>
              <w:contextualSpacing/>
              <w:rPr>
                <w:rFonts w:ascii="Times New Roman" w:hAnsi="Times New Roman"/>
              </w:rPr>
            </w:pPr>
            <w:r>
              <w:rPr>
                <w:rFonts w:ascii="Times New Roman" w:hAnsi="Times New Roman"/>
              </w:rPr>
              <w:t>Коллективная работа.</w:t>
            </w:r>
          </w:p>
        </w:tc>
      </w:tr>
      <w:tr w14:paraId="05B0D4DE">
        <w:tblPrEx>
          <w:tblCellMar>
            <w:top w:w="15" w:type="dxa"/>
            <w:left w:w="15" w:type="dxa"/>
            <w:bottom w:w="15" w:type="dxa"/>
            <w:right w:w="15" w:type="dxa"/>
          </w:tblCellMar>
        </w:tblPrEx>
        <w:tc>
          <w:tcPr>
            <w:tcW w:w="990" w:type="dxa"/>
            <w:tcBorders>
              <w:top w:val="nil"/>
              <w:left w:val="outset" w:color="auto" w:sz="6" w:space="0"/>
              <w:bottom w:val="outset" w:color="auto" w:sz="6" w:space="0"/>
              <w:right w:val="outset" w:color="auto" w:sz="6" w:space="0"/>
            </w:tcBorders>
          </w:tcPr>
          <w:p w14:paraId="1A4C0BD2">
            <w:pPr>
              <w:contextualSpacing/>
              <w:rPr>
                <w:rFonts w:ascii="Times New Roman" w:hAnsi="Times New Roman"/>
              </w:rPr>
            </w:pPr>
            <w:r>
              <w:rPr>
                <w:rFonts w:ascii="Times New Roman" w:hAnsi="Times New Roman"/>
              </w:rPr>
              <w:t>8</w:t>
            </w:r>
          </w:p>
        </w:tc>
        <w:tc>
          <w:tcPr>
            <w:tcW w:w="6090" w:type="dxa"/>
            <w:tcBorders>
              <w:top w:val="nil"/>
              <w:left w:val="outset" w:color="auto" w:sz="6" w:space="0"/>
              <w:bottom w:val="outset" w:color="auto" w:sz="6" w:space="0"/>
              <w:right w:val="outset" w:color="auto" w:sz="6" w:space="0"/>
            </w:tcBorders>
          </w:tcPr>
          <w:p w14:paraId="35B93674">
            <w:pPr>
              <w:contextualSpacing/>
              <w:rPr>
                <w:rFonts w:ascii="Times New Roman" w:hAnsi="Times New Roman"/>
              </w:rPr>
            </w:pPr>
            <w:r>
              <w:rPr>
                <w:rFonts w:ascii="Times New Roman" w:hAnsi="Times New Roman"/>
              </w:rPr>
              <w:t>Е. Зиноватная «Варенье из ранеток»</w:t>
            </w:r>
          </w:p>
        </w:tc>
        <w:tc>
          <w:tcPr>
            <w:tcW w:w="3675" w:type="dxa"/>
            <w:tcBorders>
              <w:top w:val="nil"/>
              <w:left w:val="outset" w:color="auto" w:sz="6" w:space="0"/>
              <w:bottom w:val="outset" w:color="auto" w:sz="6" w:space="0"/>
              <w:right w:val="outset" w:color="auto" w:sz="6" w:space="0"/>
            </w:tcBorders>
          </w:tcPr>
          <w:p w14:paraId="24F25AD4">
            <w:pPr>
              <w:contextualSpacing/>
              <w:rPr>
                <w:rFonts w:ascii="Times New Roman" w:hAnsi="Times New Roman"/>
              </w:rPr>
            </w:pPr>
            <w:r>
              <w:rPr>
                <w:rFonts w:ascii="Times New Roman" w:hAnsi="Times New Roman"/>
              </w:rPr>
              <w:t xml:space="preserve">Знакомство с творчеством новосибирской писательницы. Выставка творческих работ. </w:t>
            </w:r>
          </w:p>
        </w:tc>
      </w:tr>
    </w:tbl>
    <w:p w14:paraId="240EA287">
      <w:pPr>
        <w:contextualSpacing/>
        <w:rPr>
          <w:rFonts w:hint="default" w:ascii="Times New Roman" w:hAnsi="Times New Roman"/>
          <w:b/>
          <w:lang w:val="ru-RU"/>
        </w:rPr>
      </w:pPr>
      <w:r>
        <w:rPr>
          <w:rFonts w:ascii="Times New Roman" w:hAnsi="Times New Roman"/>
          <w:b/>
        </w:rPr>
        <w:t xml:space="preserve"> </w:t>
      </w:r>
      <w:r>
        <w:rPr>
          <w:rFonts w:hint="default" w:ascii="Times New Roman" w:hAnsi="Times New Roman"/>
          <w:b/>
        </w:rPr>
        <w:fldChar w:fldCharType="begin"/>
      </w:r>
      <w:r>
        <w:rPr>
          <w:rFonts w:hint="default" w:ascii="Times New Roman" w:hAnsi="Times New Roman"/>
          <w:b/>
        </w:rPr>
        <w:instrText xml:space="preserve"> HYPERLINK "https://disk.yandex.ru/i/OcMpb_dgj9NlZg" </w:instrText>
      </w:r>
      <w:r>
        <w:rPr>
          <w:rFonts w:hint="default" w:ascii="Times New Roman" w:hAnsi="Times New Roman"/>
          <w:b/>
        </w:rPr>
        <w:fldChar w:fldCharType="separate"/>
      </w:r>
      <w:r>
        <w:rPr>
          <w:rStyle w:val="4"/>
          <w:rFonts w:hint="default" w:ascii="Times New Roman" w:hAnsi="Times New Roman"/>
          <w:b/>
        </w:rPr>
        <w:t>https://disk.yandex.ru/i/OcMpb_dgj9NlZg</w:t>
      </w:r>
      <w:r>
        <w:rPr>
          <w:rFonts w:hint="default" w:ascii="Times New Roman" w:hAnsi="Times New Roman"/>
          <w:b/>
        </w:rPr>
        <w:fldChar w:fldCharType="end"/>
      </w:r>
      <w:r>
        <w:rPr>
          <w:rFonts w:hint="default" w:ascii="Times New Roman" w:hAnsi="Times New Roman"/>
          <w:b/>
          <w:lang w:val="ru-RU"/>
        </w:rPr>
        <w:t xml:space="preserve"> </w:t>
      </w:r>
      <w:r>
        <w:rPr>
          <w:rFonts w:hint="default" w:ascii="Times New Roman" w:hAnsi="Times New Roman"/>
          <w:b w:val="0"/>
          <w:bCs/>
          <w:lang w:val="ru-RU"/>
        </w:rPr>
        <w:t>выставка творческих работ</w:t>
      </w:r>
      <w:bookmarkStart w:id="0" w:name="_GoBack"/>
      <w:bookmarkEnd w:id="0"/>
    </w:p>
    <w:p w14:paraId="600A5517">
      <w:pPr>
        <w:rPr>
          <w:rFonts w:ascii="Times New Roman" w:hAnsi="Times New Roman" w:eastAsia="Calibri"/>
        </w:rPr>
      </w:pPr>
      <w:r>
        <w:rPr>
          <w:rFonts w:ascii="Times New Roman" w:hAnsi="Times New Roman" w:eastAsia="Calibri"/>
        </w:rPr>
        <w:t xml:space="preserve"> </w:t>
      </w:r>
    </w:p>
    <w:p w14:paraId="40F0131D">
      <w:pPr>
        <w:rPr>
          <w:rFonts w:ascii="Times New Roman" w:hAnsi="Times New Roman" w:eastAsia="DengXian"/>
        </w:rPr>
      </w:pPr>
      <w:r>
        <w:rPr>
          <w:rFonts w:ascii="Times New Roman" w:hAnsi="Times New Roman" w:eastAsia="Calibri"/>
        </w:rPr>
        <w:br w:type="page"/>
      </w:r>
    </w:p>
    <w:p w14:paraId="0FD6C022">
      <w:pPr>
        <w:rPr>
          <w:b/>
        </w:rPr>
      </w:pPr>
    </w:p>
    <w:p w14:paraId="2AE92EBD"/>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CC"/>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Liberation Serif">
    <w:panose1 w:val="02020603050405020304"/>
    <w:charset w:val="CC"/>
    <w:family w:val="roman"/>
    <w:pitch w:val="default"/>
    <w:sig w:usb0="E0000AFF" w:usb1="500078FF" w:usb2="00000021" w:usb3="00000000" w:csb0="600001BF" w:csb1="DFF7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DengXian">
    <w:altName w:val="SimSun"/>
    <w:panose1 w:val="02010600030101010101"/>
    <w:charset w:val="86"/>
    <w:family w:val="modern"/>
    <w:pitch w:val="default"/>
    <w:sig w:usb0="00000000" w:usb1="0000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6" w:lineRule="auto"/>
      </w:pPr>
      <w:r>
        <w:separator/>
      </w:r>
    </w:p>
  </w:footnote>
  <w:footnote w:type="continuationSeparator" w:id="1">
    <w:p>
      <w:pPr>
        <w:spacing w:before="0" w:after="0" w:line="25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554DF8"/>
    <w:multiLevelType w:val="multilevel"/>
    <w:tmpl w:val="04554DF8"/>
    <w:lvl w:ilvl="0" w:tentative="0">
      <w:start w:val="1"/>
      <w:numFmt w:val="decimal"/>
      <w:lvlText w:val="%1."/>
      <w:lvlJc w:val="left"/>
      <w:pPr>
        <w:ind w:left="720" w:hanging="360"/>
      </w:pPr>
      <w:rPr>
        <w:rFonts w:hint="default" w:ascii="Times New Roman" w:hAnsi="Times New Roman" w:cs="Times New Roman"/>
      </w:rPr>
    </w:lvl>
    <w:lvl w:ilvl="1" w:tentative="0">
      <w:start w:val="1"/>
      <w:numFmt w:val="lowerLetter"/>
      <w:lvlText w:val="%2."/>
      <w:lvlJc w:val="left"/>
      <w:pPr>
        <w:ind w:left="1440" w:hanging="360"/>
      </w:pPr>
      <w:rPr>
        <w:rFonts w:hint="default" w:ascii="Times New Roman" w:hAnsi="Times New Roman" w:cs="Times New Roman"/>
      </w:rPr>
    </w:lvl>
    <w:lvl w:ilvl="2" w:tentative="0">
      <w:start w:val="1"/>
      <w:numFmt w:val="lowerRoman"/>
      <w:lvlText w:val="%3."/>
      <w:lvlJc w:val="right"/>
      <w:pPr>
        <w:ind w:left="2160" w:hanging="360"/>
      </w:pPr>
      <w:rPr>
        <w:rFonts w:hint="default" w:ascii="Times New Roman" w:hAnsi="Times New Roman" w:cs="Times New Roman"/>
      </w:rPr>
    </w:lvl>
    <w:lvl w:ilvl="3" w:tentative="0">
      <w:start w:val="1"/>
      <w:numFmt w:val="decimal"/>
      <w:lvlText w:val="%4."/>
      <w:lvlJc w:val="left"/>
      <w:pPr>
        <w:ind w:left="2880" w:hanging="360"/>
      </w:pPr>
      <w:rPr>
        <w:rFonts w:hint="default" w:ascii="Times New Roman" w:hAnsi="Times New Roman" w:cs="Times New Roman"/>
      </w:rPr>
    </w:lvl>
    <w:lvl w:ilvl="4" w:tentative="0">
      <w:start w:val="1"/>
      <w:numFmt w:val="lowerLetter"/>
      <w:lvlText w:val="%5."/>
      <w:lvlJc w:val="left"/>
      <w:pPr>
        <w:ind w:left="3600" w:hanging="360"/>
      </w:pPr>
      <w:rPr>
        <w:rFonts w:hint="default" w:ascii="Times New Roman" w:hAnsi="Times New Roman" w:cs="Times New Roman"/>
      </w:rPr>
    </w:lvl>
    <w:lvl w:ilvl="5" w:tentative="0">
      <w:start w:val="1"/>
      <w:numFmt w:val="lowerRoman"/>
      <w:lvlText w:val="%6."/>
      <w:lvlJc w:val="right"/>
      <w:pPr>
        <w:ind w:left="4320" w:hanging="360"/>
      </w:pPr>
      <w:rPr>
        <w:rFonts w:hint="default" w:ascii="Times New Roman" w:hAnsi="Times New Roman" w:cs="Times New Roman"/>
      </w:rPr>
    </w:lvl>
    <w:lvl w:ilvl="6" w:tentative="0">
      <w:start w:val="1"/>
      <w:numFmt w:val="decimal"/>
      <w:lvlText w:val="%7."/>
      <w:lvlJc w:val="left"/>
      <w:pPr>
        <w:ind w:left="5040" w:hanging="360"/>
      </w:pPr>
      <w:rPr>
        <w:rFonts w:hint="default" w:ascii="Times New Roman" w:hAnsi="Times New Roman" w:cs="Times New Roman"/>
      </w:rPr>
    </w:lvl>
    <w:lvl w:ilvl="7" w:tentative="0">
      <w:start w:val="1"/>
      <w:numFmt w:val="lowerLetter"/>
      <w:lvlText w:val="%8."/>
      <w:lvlJc w:val="left"/>
      <w:pPr>
        <w:ind w:left="5760" w:hanging="360"/>
      </w:pPr>
      <w:rPr>
        <w:rFonts w:hint="default" w:ascii="Times New Roman" w:hAnsi="Times New Roman" w:cs="Times New Roman"/>
      </w:rPr>
    </w:lvl>
    <w:lvl w:ilvl="8" w:tentative="0">
      <w:start w:val="1"/>
      <w:numFmt w:val="lowerRoman"/>
      <w:lvlText w:val="%9."/>
      <w:lvlJc w:val="right"/>
      <w:pPr>
        <w:ind w:left="6480" w:hanging="360"/>
      </w:pPr>
      <w:rPr>
        <w:rFonts w:hint="default" w:ascii="Times New Roman" w:hAnsi="Times New Roman" w:cs="Times New Roman"/>
      </w:rPr>
    </w:lvl>
  </w:abstractNum>
  <w:abstractNum w:abstractNumId="1">
    <w:nsid w:val="077D065B"/>
    <w:multiLevelType w:val="multilevel"/>
    <w:tmpl w:val="077D065B"/>
    <w:lvl w:ilvl="0" w:tentative="0">
      <w:start w:val="1"/>
      <w:numFmt w:val="bullet"/>
      <w:lvlText w:val="-"/>
      <w:lvlJc w:val="left"/>
      <w:pPr>
        <w:ind w:left="720" w:hanging="360"/>
      </w:pPr>
      <w:rPr>
        <w:rFonts w:hint="default" w:ascii="Courier New" w:hAnsi="Courier New" w:cs="Courier New"/>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10874AD0"/>
    <w:multiLevelType w:val="multilevel"/>
    <w:tmpl w:val="10874AD0"/>
    <w:lvl w:ilvl="0" w:tentative="0">
      <w:start w:val="1"/>
      <w:numFmt w:val="bullet"/>
      <w:lvlText w:val="-"/>
      <w:lvlJc w:val="left"/>
      <w:pPr>
        <w:ind w:left="720" w:hanging="360"/>
      </w:pPr>
      <w:rPr>
        <w:rFonts w:hint="default" w:ascii="Courier New" w:hAnsi="Courier New" w:cs="Courier New"/>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F4502CE"/>
    <w:multiLevelType w:val="multilevel"/>
    <w:tmpl w:val="3F4502CE"/>
    <w:lvl w:ilvl="0" w:tentative="0">
      <w:start w:val="1"/>
      <w:numFmt w:val="bullet"/>
      <w:lvlText w:val=""/>
      <w:lvlJc w:val="left"/>
      <w:pPr>
        <w:ind w:left="720" w:hanging="360"/>
      </w:pPr>
      <w:rPr>
        <w:rFonts w:hint="default" w:ascii="Symbol" w:hAnsi="Symbol"/>
      </w:rPr>
    </w:lvl>
    <w:lvl w:ilvl="1" w:tentative="0">
      <w:start w:val="1"/>
      <w:numFmt w:val="lowerLetter"/>
      <w:lvlText w:val="%2."/>
      <w:lvlJc w:val="left"/>
      <w:pPr>
        <w:ind w:left="1440" w:hanging="360"/>
      </w:pPr>
      <w:rPr>
        <w:rFonts w:hint="default" w:ascii="Times New Roman" w:hAnsi="Times New Roman" w:cs="Times New Roman"/>
      </w:rPr>
    </w:lvl>
    <w:lvl w:ilvl="2" w:tentative="0">
      <w:start w:val="1"/>
      <w:numFmt w:val="lowerRoman"/>
      <w:lvlText w:val="%3."/>
      <w:lvlJc w:val="right"/>
      <w:pPr>
        <w:ind w:left="2160" w:hanging="360"/>
      </w:pPr>
      <w:rPr>
        <w:rFonts w:hint="default" w:ascii="Times New Roman" w:hAnsi="Times New Roman" w:cs="Times New Roman"/>
      </w:rPr>
    </w:lvl>
    <w:lvl w:ilvl="3" w:tentative="0">
      <w:start w:val="1"/>
      <w:numFmt w:val="decimal"/>
      <w:lvlText w:val="%4."/>
      <w:lvlJc w:val="left"/>
      <w:pPr>
        <w:ind w:left="2880" w:hanging="360"/>
      </w:pPr>
      <w:rPr>
        <w:rFonts w:hint="default" w:ascii="Times New Roman" w:hAnsi="Times New Roman" w:cs="Times New Roman"/>
      </w:rPr>
    </w:lvl>
    <w:lvl w:ilvl="4" w:tentative="0">
      <w:start w:val="1"/>
      <w:numFmt w:val="lowerLetter"/>
      <w:lvlText w:val="%5."/>
      <w:lvlJc w:val="left"/>
      <w:pPr>
        <w:ind w:left="3600" w:hanging="360"/>
      </w:pPr>
      <w:rPr>
        <w:rFonts w:hint="default" w:ascii="Times New Roman" w:hAnsi="Times New Roman" w:cs="Times New Roman"/>
      </w:rPr>
    </w:lvl>
    <w:lvl w:ilvl="5" w:tentative="0">
      <w:start w:val="1"/>
      <w:numFmt w:val="lowerRoman"/>
      <w:lvlText w:val="%6."/>
      <w:lvlJc w:val="right"/>
      <w:pPr>
        <w:ind w:left="4320" w:hanging="360"/>
      </w:pPr>
      <w:rPr>
        <w:rFonts w:hint="default" w:ascii="Times New Roman" w:hAnsi="Times New Roman" w:cs="Times New Roman"/>
      </w:rPr>
    </w:lvl>
    <w:lvl w:ilvl="6" w:tentative="0">
      <w:start w:val="1"/>
      <w:numFmt w:val="decimal"/>
      <w:lvlText w:val="%7."/>
      <w:lvlJc w:val="left"/>
      <w:pPr>
        <w:ind w:left="5040" w:hanging="360"/>
      </w:pPr>
      <w:rPr>
        <w:rFonts w:hint="default" w:ascii="Times New Roman" w:hAnsi="Times New Roman" w:cs="Times New Roman"/>
      </w:rPr>
    </w:lvl>
    <w:lvl w:ilvl="7" w:tentative="0">
      <w:start w:val="1"/>
      <w:numFmt w:val="lowerLetter"/>
      <w:lvlText w:val="%8."/>
      <w:lvlJc w:val="left"/>
      <w:pPr>
        <w:ind w:left="5760" w:hanging="360"/>
      </w:pPr>
      <w:rPr>
        <w:rFonts w:hint="default" w:ascii="Times New Roman" w:hAnsi="Times New Roman" w:cs="Times New Roman"/>
      </w:rPr>
    </w:lvl>
    <w:lvl w:ilvl="8" w:tentative="0">
      <w:start w:val="1"/>
      <w:numFmt w:val="lowerRoman"/>
      <w:lvlText w:val="%9."/>
      <w:lvlJc w:val="right"/>
      <w:pPr>
        <w:ind w:left="6480" w:hanging="360"/>
      </w:pPr>
      <w:rPr>
        <w:rFonts w:hint="default" w:ascii="Times New Roman" w:hAnsi="Times New Roman"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3"/>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7B8"/>
    <w:rsid w:val="005F2DD6"/>
    <w:rsid w:val="006E0BB9"/>
    <w:rsid w:val="008D3579"/>
    <w:rsid w:val="009937B8"/>
    <w:rsid w:val="71C966E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99" w:semiHidden="0" w:name="Table Grid"/>
    <w:lsdException w:uiPriority="99" w:name="Table Theme"/>
  </w:latentStyles>
  <w:style w:type="paragraph" w:default="1" w:styleId="1">
    <w:name w:val="Normal"/>
    <w:qFormat/>
    <w:uiPriority w:val="0"/>
    <w:pPr>
      <w:spacing w:before="100" w:beforeAutospacing="1" w:after="100" w:afterAutospacing="1" w:line="256" w:lineRule="auto"/>
    </w:pPr>
    <w:rPr>
      <w:rFonts w:ascii="Calibri" w:hAnsi="Calibri" w:eastAsia="Times New Roman" w:cs="Times New Roman"/>
      <w:sz w:val="24"/>
      <w:szCs w:val="24"/>
      <w:lang w:val="ru-RU" w:eastAsia="ru-R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FollowedHyperlink"/>
    <w:basedOn w:val="2"/>
    <w:semiHidden/>
    <w:unhideWhenUsed/>
    <w:uiPriority w:val="99"/>
    <w:rPr>
      <w:color w:val="800080"/>
      <w:u w:val="single"/>
    </w:rPr>
  </w:style>
  <w:style w:type="character" w:styleId="5">
    <w:name w:val="Hyperlink"/>
    <w:basedOn w:val="2"/>
    <w:semiHidden/>
    <w:unhideWhenUsed/>
    <w:uiPriority w:val="99"/>
    <w:rPr>
      <w:color w:val="0000FF"/>
      <w:u w:val="single"/>
    </w:rPr>
  </w:style>
  <w:style w:type="table" w:styleId="6">
    <w:name w:val="Table Grid"/>
    <w:basedOn w:val="3"/>
    <w:unhideWhenUsed/>
    <w:uiPriority w:val="99"/>
    <w:pPr>
      <w:spacing w:after="0" w:line="240" w:lineRule="auto"/>
    </w:pPr>
    <w:rPr>
      <w:rFonts w:ascii="Times New Roman" w:hAnsi="Times New Roman" w:eastAsia="Times New Roman" w:cs="Times New Roman"/>
      <w:sz w:val="20"/>
      <w:szCs w:val="20"/>
      <w:lang w:eastAsia="ru-RU"/>
    </w:rPr>
    <w:tblPr>
      <w:tblCellMar>
        <w:left w:w="0" w:type="dxa"/>
        <w:right w:w="0" w:type="dxa"/>
      </w:tblCellMar>
    </w:tblPr>
  </w:style>
  <w:style w:type="paragraph" w:customStyle="1" w:styleId="7">
    <w:name w:val="List Paragraph"/>
    <w:basedOn w:val="1"/>
    <w:uiPriority w:val="0"/>
    <w:pPr>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5</Pages>
  <Words>793</Words>
  <Characters>4524</Characters>
  <Lines>37</Lines>
  <Paragraphs>10</Paragraphs>
  <TotalTime>28</TotalTime>
  <ScaleCrop>false</ScaleCrop>
  <LinksUpToDate>false</LinksUpToDate>
  <CharactersWithSpaces>5307</CharactersWithSpaces>
  <Application>WPS Office_12.2.0.18607_F1E327BC-269C-435d-A152-05C5408002CA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2024-10-30T10:26:00Z</dcterms:created>
  <dc:creator>User</dc:creator>
  <cp:lastModifiedBy>User2</cp:lastModifiedBy>
  <dcterms:modified xsi:type="dcterms:W3CDTF">2024-10-30T10:57:01Z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1049-12.2.0.18607</vt:lpwstr>
  </property>
  <property fmtid="{D5CDD505-2E9C-101B-9397-08002B2CF9AE}" pid="3" name="ICV">
    <vt:lpwstr>44070AEF41E546719ACAFB20BDECA890_12</vt:lpwstr>
  </property>
</Properties>
</file>