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8"/>
      </w:pPr>
      <w:r>
        <w:rPr>
          <w:sz w:val="24"/>
        </w:rPr>
        <w:t xml:space="preserve">Памятка</w:t>
      </w:r>
      <w:r>
        <w:rPr>
          <w:b/>
          <w:sz w:val="28"/>
        </w:rPr>
        <w:t xml:space="preserve">. «Три правила организации здорового  питания» :</w:t>
      </w:r>
      <w:r/>
    </w:p>
    <w:p>
      <w:pPr>
        <w:ind w:firstLine="708"/>
      </w:pPr>
      <w:r>
        <w:t xml:space="preserve">1. СОЗДАЕМ ОПТИМАЛЬНЫЕ УСЛОВИЯ ДЛЯ ОРГАНИЗАЦИИ ПИТАНИЯ  ДЕТЕЙ. </w:t>
      </w:r>
      <w:r/>
    </w:p>
    <w:p>
      <w:pPr>
        <w:ind w:firstLine="708"/>
      </w:pPr>
      <w:r>
        <w:t xml:space="preserve">Шаг первый. Формируем оптимальный режим питания с учетом приема  пищи (завтрак ил</w:t>
      </w:r>
      <w:r>
        <w:t xml:space="preserve">и обед), пропускной способности столовой за перемену,  100% охвата всех школьников горячим питанием, организации питания  детей с сахарным диабетом, пищевой аллергией, целиакией,  предусматривая продолжительность перемен для приема пищи не  менее 20 минут.</w:t>
      </w:r>
      <w:r>
        <w:t xml:space="preserve"> </w:t>
      </w:r>
      <w:r/>
    </w:p>
    <w:p>
      <w:pPr>
        <w:ind w:firstLine="708"/>
      </w:pPr>
      <w:r>
        <w:t xml:space="preserve">Шаг второй. Оборудуем столовую удобными и функциональными  посадочными местами, распределяем места размещения детей по  классам. </w:t>
      </w:r>
      <w:r/>
    </w:p>
    <w:p>
      <w:pPr>
        <w:ind w:firstLine="708"/>
      </w:pPr>
      <w:r>
        <w:t xml:space="preserve">Шаг третий. Прорабатываем вопросы обеспечения оптимальной  системы накрывания на столы, гарантирующей сохранение  потребительс</w:t>
      </w:r>
      <w:r>
        <w:t xml:space="preserve">кой температуры горячих блюд не только на момент их  раздачи, но и на момент приема пищи детьми. </w:t>
      </w:r>
      <w:r/>
    </w:p>
    <w:p>
      <w:pPr>
        <w:ind w:firstLine="708"/>
      </w:pPr>
      <w:r>
        <w:t xml:space="preserve">Шаг четвертый. Создаем детям условия для мытья рук, обеспечиваем  бесперебойную подачу холодной и горячей воды через смесители, наличие  мыла и электрополотенц</w:t>
      </w:r>
      <w:r>
        <w:t xml:space="preserve">а.</w:t>
      </w:r>
      <w:r/>
    </w:p>
    <w:p>
      <w:pPr>
        <w:ind w:firstLine="708"/>
      </w:pPr>
      <w:r>
        <w:t xml:space="preserve"> Шаг пятый. Обеспечиваем системность в уборке столовой, мытье и  обработке столов, стульев, панелей, столовой посуды и кухонных  приборов. Не забываем про обязательность проведения  дезинфекционных мероприятий по режиму вирусных инфекций на период  панде</w:t>
      </w:r>
      <w:r>
        <w:t xml:space="preserve">мии COVD-19. Не допускаем антисанитарии, обрабатываем столы  перед каждой посадкой обучающихся. </w:t>
      </w:r>
      <w:r/>
    </w:p>
    <w:p>
      <w:pPr>
        <w:ind w:firstLine="708"/>
      </w:pPr>
      <w:r>
        <w:t xml:space="preserve">Шаг шестой. Не забываем про обязательность аккуратной сервировки  столов, наличие салфеток. </w:t>
      </w:r>
      <w:r/>
    </w:p>
    <w:p>
      <w:pPr>
        <w:ind w:firstLine="708"/>
      </w:pPr>
      <w:r>
        <w:t xml:space="preserve">Шаг седьмой. Информируем детей о содержании меню основного и  дополн</w:t>
      </w:r>
      <w:r>
        <w:t xml:space="preserve">ительного питания.  </w:t>
      </w:r>
      <w:r/>
    </w:p>
    <w:p>
      <w:pPr>
        <w:ind w:firstLine="708"/>
      </w:pPr>
      <w:r>
        <w:t xml:space="preserve">Шаг восьмой. Размещаем и регулярно обновляем содержание  информационного стенда о принципах здорового питания, здоровом  пищевом поведении, значимости здорового питания в профилактике  болезней цивилизации.  </w:t>
      </w:r>
      <w:r/>
    </w:p>
    <w:p>
      <w:pPr>
        <w:ind w:firstLine="708"/>
      </w:pPr>
      <w:r>
        <w:t xml:space="preserve">2. СОСТАВЛЯЕМ ПРАВИЛЬНО МЕНЮ</w:t>
      </w:r>
      <w:r>
        <w:t xml:space="preserve">. </w:t>
      </w:r>
      <w:r/>
    </w:p>
    <w:p>
      <w:pPr>
        <w:ind w:firstLine="708"/>
      </w:pPr>
      <w:r>
        <w:t xml:space="preserve">Шаг первый. Рационально распределяем калорийность блюд по приемам  пищи, из расчета, что завтрак должен составлять 20-25% от суточной  калорийности; обед - 30-35% соответственно.</w:t>
      </w:r>
      <w:r/>
    </w:p>
    <w:p>
      <w:pPr>
        <w:ind w:firstLine="708"/>
      </w:pPr>
      <w:r>
        <w:t xml:space="preserve"> Шаг второй. Принимаем решение о включении в меню блюд с  повышенным содержа</w:t>
      </w:r>
      <w:r>
        <w:t xml:space="preserve">нием витаминов и микроэлементов, необходимых  для гармоничного роста и развития детей (блюда с добавлением  микрозелени, ягод, орехов, меда), продуктов обогащенных витаминами  и микронутриентами, лакто-и бифидобактериями. </w:t>
      </w:r>
      <w:r/>
    </w:p>
    <w:p>
      <w:pPr>
        <w:ind w:firstLine="708"/>
      </w:pPr>
      <w:r>
        <w:t xml:space="preserve">Шаг третий. Принимаем решение о не</w:t>
      </w:r>
      <w:r>
        <w:t xml:space="preserve">допущении включения в меню  основного питания продуктов и блюд, являющихся источником  легкоусвояемых углеводов (конфеты, шоколад, вафли, печенье, коржики,  булочки, кексы, манная каша, манники); продуктов, являющихся  источником скрытой соли (колбасные из</w:t>
      </w:r>
      <w:r>
        <w:t xml:space="preserve">делия, мясные и рыбные  консервы, консервированные овощи и соленья), продукты с усилителями  вкуса, красителями. От суточной  калорийности: завтрак 20- 25%; обед 30-35 %.</w:t>
      </w:r>
      <w:r/>
    </w:p>
    <w:p>
      <w:pPr>
        <w:ind w:firstLine="708"/>
      </w:pPr>
      <w:r>
        <w:t xml:space="preserve"> Шаг четвертый. Отбираем для включения в меню технологические  карты из сборников блюд</w:t>
      </w:r>
      <w:r>
        <w:t xml:space="preserve"> для детского питания. Обращаем внимание,  что технология приготовления блюд, изложенная в них,  соответствует технологической оснащенности пищеблока.  Контролируем в отобранных для включения в меню технологических  картах предусмотренную технологию пригот</w:t>
      </w:r>
      <w:r>
        <w:t xml:space="preserve">овления блюд. Она должна  предусматривать использование исключительно щадящих методов  кулинарной обработки (тушение, варку, приготовление на пару,  запекание, пассерование, припускание). Уделяем особое внимание  содержанию соли и сахара в отобранных блюда</w:t>
      </w:r>
      <w:r>
        <w:t xml:space="preserve">х, оно должно быть  приведено в соответствие с рекомендациями ВОЗ (соль – не более 5  г/сутки, сахара 20 г/сутки, на один прием пищи соответственно, как  минимум в 4 раза меньше). Формируем у ребенка привычку низко солевого рациона, а также привычку употре</w:t>
      </w:r>
      <w:r>
        <w:t xml:space="preserve">бления умеренно сладких блюд. Количество отобранных для включения в меню технологических карт  должно обеспечивать разнообразие рациона, не допускающего  повторяемости блюд в течение дня и двух смежных с ним дней.  </w:t>
      </w:r>
      <w:r/>
    </w:p>
    <w:p>
      <w:pPr>
        <w:ind w:firstLine="708"/>
      </w:pPr>
      <w:r>
        <w:t xml:space="preserve">Шаг пятый. Правильно формируем меню горяч</w:t>
      </w:r>
      <w:r>
        <w:t xml:space="preserve">их завтраков. В меню в  обязательном порядке включаем горячее блюдо (кашу, запеканку,  творожные или яичные блюда) и горячий напиток (чай, какао, кофейный  напиток). Дополняем завтрак продуктами - источниками витаминов,  микроэлементов и клетчатки (овощи, </w:t>
      </w:r>
      <w:r>
        <w:t xml:space="preserve">фрукты, ягоды, орехи, йогурты).  В меню обедов включаем овощной салат (овощи в нарезке), первое  блюдо, второе основное блюдо рубленое или цельнокусковое (из мяса или  рыбы), гарнир (овощной или крупяной), напиток (компот, кисель).  Обращаем внимание на ст</w:t>
      </w:r>
      <w:r>
        <w:t xml:space="preserve">руктуру блюд, рационально объединяем в  меню овощные и крупяные блюда. </w:t>
      </w:r>
      <w:r/>
    </w:p>
    <w:p>
      <w:pPr>
        <w:ind w:firstLine="708"/>
      </w:pPr>
      <w:r>
        <w:t xml:space="preserve">Шаг шестой. Проводим оценку разработанного меню, в части  суммарной за прием пищи (завтрак, обед) массы порций, калорийности  блюд, оцениваем распределение белков, жиров и углеводов, со</w:t>
      </w:r>
      <w:r>
        <w:t xml:space="preserve">держание витаминов и микроэлементов, сравниваем их с показателями,  регламентированными действующими нормативными документами. В  случае необходимости, проводим корректировку меню. </w:t>
      </w:r>
      <w:r/>
    </w:p>
    <w:p>
      <w:pPr>
        <w:ind w:firstLine="708"/>
      </w:pPr>
      <w:r>
        <w:t xml:space="preserve">Шаг седьмой. Когда меню разработано, определяем необходимое  количество про</w:t>
      </w:r>
      <w:r>
        <w:t xml:space="preserve">дуктов (в брутто) для выполнения меню по дням цикла в  пересчете на одного питающегося и всех питающихся. </w:t>
      </w:r>
      <w:r/>
    </w:p>
    <w:p>
      <w:pPr>
        <w:ind w:firstLine="708"/>
      </w:pPr>
      <w:r>
        <w:t xml:space="preserve">Шаг восьмой. При формировании конкурсной документации на поставки  продуктов, детально прописываем показатели, характеризующие  качество продуктов и с</w:t>
      </w:r>
      <w:r>
        <w:t xml:space="preserve">роки поставки относительно  регламентированных производителями сроков годности, исключаем  возможность поставки фальсифицированной продукции.  </w:t>
      </w:r>
      <w:r/>
    </w:p>
    <w:p>
      <w:pPr>
        <w:ind w:firstLine="708"/>
      </w:pPr>
      <w:r>
        <w:t xml:space="preserve">3) ИНФОРМИРУЕМ РОДИТЕЛЕЙ О МЕНЮ (ОСНОВНОМ И  ДОПОЛНИТЕЛЬНОМ). Выставляем на сайте меню и технологические карты б</w:t>
      </w:r>
      <w:r>
        <w:t xml:space="preserve">люд,  предлагаемых детям.  Информируем родителей для обеспечения преемственности в питании  детей в школе и дома. 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5">
    <w:name w:val="Heading 1 Char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basedOn w:val="810"/>
    <w:next w:val="810"/>
    <w:link w:val="63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37">
    <w:name w:val="Heading 2 Char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basedOn w:val="810"/>
    <w:next w:val="810"/>
    <w:link w:val="63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39">
    <w:name w:val="Heading 3 Char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basedOn w:val="810"/>
    <w:next w:val="810"/>
    <w:link w:val="64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1">
    <w:name w:val="Heading 4 Char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3">
    <w:name w:val="Heading 5 Char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5">
    <w:name w:val="Heading 6 Char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47">
    <w:name w:val="Heading 7 Char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49">
    <w:name w:val="Heading 8 Char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1">
    <w:name w:val="Heading 9 Char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Title"/>
    <w:basedOn w:val="810"/>
    <w:next w:val="810"/>
    <w:link w:val="65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3">
    <w:name w:val="Title Char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qFormat/>
    <w:uiPriority w:val="11"/>
    <w:rPr>
      <w:sz w:val="24"/>
      <w:szCs w:val="24"/>
    </w:rPr>
    <w:pPr>
      <w:spacing w:after="200" w:before="200"/>
    </w:pPr>
  </w:style>
  <w:style w:type="character" w:styleId="655">
    <w:name w:val="Subtitle Char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qFormat/>
    <w:uiPriority w:val="29"/>
    <w:rPr>
      <w:i/>
    </w:rPr>
    <w:pPr>
      <w:ind w:left="720" w:right="720"/>
    </w:p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1">
    <w:name w:val="Header Char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3">
    <w:name w:val="Footer Char"/>
    <w:link w:val="662"/>
    <w:uiPriority w:val="99"/>
  </w:style>
  <w:style w:type="paragraph" w:styleId="664">
    <w:name w:val="Caption"/>
    <w:basedOn w:val="810"/>
    <w:next w:val="810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1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1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3">
    <w:name w:val="Grid Table 1 Light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1">
    <w:name w:val="Grid Table 2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2">
    <w:name w:val="Grid Table 2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Grid Table 2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Grid Table 2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Grid Table 2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Grid Table 2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3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3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3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3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3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4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5">
    <w:name w:val="Grid Table 4 - Accent 1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96">
    <w:name w:val="Grid Table 4 - Accent 2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97">
    <w:name w:val="Grid Table 4 - Accent 3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698">
    <w:name w:val="Grid Table 4 - Accent 4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699">
    <w:name w:val="Grid Table 4 - Accent 5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0">
    <w:name w:val="Grid Table 4 - Accent 6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1">
    <w:name w:val="Grid Table 5 Dark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02">
    <w:name w:val="Grid Table 5 Dark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703">
    <w:name w:val="Grid Table 5 Dark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704">
    <w:name w:val="Grid Table 5 Dark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705">
    <w:name w:val="Grid Table 5 Dark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706">
    <w:name w:val="Grid Table 5 Dark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707">
    <w:name w:val="Grid Table 5 Dark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708">
    <w:name w:val="Grid Table 6 Colorful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16">
    <w:name w:val="Grid Table 7 Colorful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17">
    <w:name w:val="Grid Table 7 Colorful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7 Colorful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7 Colorful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7 Colorful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7 Colorful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List Table 1 Light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List Table 1 Light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List Table 1 Light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List Table 1 Light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List Table 1 Light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List Table 1 Light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0">
    <w:name w:val="List Table 2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1">
    <w:name w:val="List Table 2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2">
    <w:name w:val="List Table 2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3">
    <w:name w:val="List Table 2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34">
    <w:name w:val="List Table 2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35">
    <w:name w:val="List Table 2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36">
    <w:name w:val="List Table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58">
    <w:name w:val="List Table 6 Colorful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59">
    <w:name w:val="List Table 6 Colorful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0">
    <w:name w:val="List Table 6 Colorful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1">
    <w:name w:val="List Table 6 Colorful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2">
    <w:name w:val="List Table 6 Colorful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3">
    <w:name w:val="List Table 6 Colorful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64">
    <w:name w:val="List Table 7 Colorful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6">
    <w:name w:val="List Table 7 Colorful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7">
    <w:name w:val="List Table 7 Colorful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8">
    <w:name w:val="List Table 7 Colorful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9">
    <w:name w:val="List Table 7 Colorful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0">
    <w:name w:val="List Table 7 Colorful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1">
    <w:name w:val="Lined - Accent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72">
    <w:name w:val="Lined - Accent 1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73">
    <w:name w:val="Lined - Accent 2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74">
    <w:name w:val="Lined - Accent 3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75">
    <w:name w:val="Lined - Accent 4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76">
    <w:name w:val="Lined - Accent 5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77">
    <w:name w:val="Lined - Accent 6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78">
    <w:name w:val="Bordered &amp; Lined - Accent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79">
    <w:name w:val="Bordered &amp; Lined - Accent 1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80">
    <w:name w:val="Bordered &amp; Lined - Accent 2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1">
    <w:name w:val="Bordered &amp; Lined - Accent 3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82">
    <w:name w:val="Bordered &amp; Lined - Accent 4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3">
    <w:name w:val="Bordered &amp; Lined - Accent 5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84">
    <w:name w:val="Bordered &amp; Lined - Accent 6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5">
    <w:name w:val="Bordered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86">
    <w:name w:val="Bordered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87">
    <w:name w:val="Bordered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88">
    <w:name w:val="Bordered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89">
    <w:name w:val="Bordered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0">
    <w:name w:val="Bordered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1">
    <w:name w:val="Bordered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rPr>
      <w:sz w:val="18"/>
    </w:rPr>
    <w:pPr>
      <w:spacing w:lineRule="auto" w:line="240" w:after="40"/>
    </w:p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rPr>
      <w:sz w:val="20"/>
    </w:rPr>
    <w:pPr>
      <w:spacing w:lineRule="auto" w:line="240" w:after="0"/>
    </w:p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table" w:styleId="8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2" w:default="1">
    <w:name w:val="No List"/>
    <w:uiPriority w:val="99"/>
    <w:semiHidden/>
    <w:unhideWhenUsed/>
  </w:style>
  <w:style w:type="paragraph" w:styleId="813">
    <w:name w:val="No Spacing"/>
    <w:basedOn w:val="810"/>
    <w:qFormat/>
    <w:uiPriority w:val="1"/>
    <w:pPr>
      <w:spacing w:lineRule="auto" w:line="240" w:after="0"/>
    </w:pPr>
  </w:style>
  <w:style w:type="paragraph" w:styleId="814">
    <w:name w:val="List Paragraph"/>
    <w:basedOn w:val="810"/>
    <w:qFormat/>
    <w:uiPriority w:val="34"/>
    <w:pPr>
      <w:contextualSpacing w:val="true"/>
      <w:ind w:left="720"/>
    </w:pPr>
  </w:style>
  <w:style w:type="character" w:styleId="81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2023-06-02T10:08:09Z</dcterms:modified>
</cp:coreProperties>
</file>