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Система межведомственного взаимодействия</w:t>
      </w:r>
    </w:p>
    <w:p>
      <w:pPr>
        <w:pStyle w:val="Normal"/>
        <w:spacing w:before="57" w:after="57"/>
        <w:jc w:val="both"/>
        <w:rPr/>
      </w:pPr>
      <w:r>
        <w:rPr/>
        <w:tab/>
        <w:t>Существует система межведомственного взаимодействия органов и учреждений системы профилактики безнадзорности и правонарушений несовершеннолетних при выявлении детей, находящихся в условиях, представляющих угрозу их жизни и здоровью и принятию незамедлительных мер по их защите.</w:t>
      </w:r>
    </w:p>
    <w:p>
      <w:pPr>
        <w:pStyle w:val="Style18"/>
        <w:spacing w:before="57" w:after="57"/>
        <w:jc w:val="both"/>
        <w:rPr/>
      </w:pPr>
      <w:r>
        <w:rPr/>
        <w:tab/>
      </w:r>
      <w:r>
        <w:rPr>
          <w:b/>
          <w:bCs/>
        </w:rPr>
        <w:t>Субъектами межведомственного взаимодействия являются: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комиссии по делам несовершеннолетних и защите их прав;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органы управления социальной защитой населения;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учреждения социального обслуживания;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специализированные учреждения для несовершеннолетних, нуждающихся в социальной реабилитации;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органы, осуществляющие управление в сфере образования;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организации, осуществляющие образовательную деятельность;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специальные учебно-воспитательные учреждения открытого и закрытого типов;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организации для детей-сирот и детей, оставшихся без попечения родителей;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органы опеки и попечительства;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органы по делам молодежи;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учреждения органов по делам молодежи;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органы управления здравоохранением;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медицинские организации;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органы службы занятости;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органы внутренних дел;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подразделения по делам несовершеннолетних органов внутренних дел;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центры временного содержания для несовершеннолетних правонарушителей органов внутренних дел;</w:t>
      </w:r>
    </w:p>
    <w:p>
      <w:pPr>
        <w:pStyle w:val="Style18"/>
        <w:numPr>
          <w:ilvl w:val="0"/>
          <w:numId w:val="2"/>
        </w:numPr>
        <w:spacing w:before="0" w:after="83"/>
        <w:jc w:val="both"/>
        <w:rPr/>
      </w:pPr>
      <w:r>
        <w:rPr/>
        <w:t>учреждения уголовно-исполнительной системы (следственные изоляторы, воспитательные колонии и уголовно-исполнительные инспекции).</w:t>
      </w:r>
    </w:p>
    <w:p>
      <w:pPr>
        <w:pStyle w:val="Style18"/>
        <w:jc w:val="both"/>
        <w:rPr/>
      </w:pPr>
      <w:r>
        <w:rPr/>
        <w:tab/>
        <w:t>Кроме того, при необходимости дополнительных ресурсов к участию в межведомственном взаимодействии могут быть привлечены иные государственные (муниципальные) органы и учреждения, общественные объединения, другие заинтересованные лица, в пределах их компетенции и в порядке, установленном законодательством Российской Федерации и (или) законодательством субъектов Российской Федерации, нормативными правовыми актами органов местного самоуправления, а также постановлениями комиссий субъектов Российской Федерации и (или) территориальных (муниципальных) комиссий.</w:t>
      </w:r>
    </w:p>
    <w:p>
      <w:pPr>
        <w:pStyle w:val="Normal"/>
        <w:spacing w:before="57" w:after="57"/>
        <w:jc w:val="both"/>
        <w:rPr/>
      </w:pPr>
      <w:r>
        <w:rPr/>
        <w:tab/>
      </w:r>
      <w:r>
        <w:rPr>
          <w:b/>
          <w:bCs/>
        </w:rPr>
        <w:t>Целью межведомственного взаимодействия</w:t>
      </w:r>
      <w:r>
        <w:rPr/>
        <w:t xml:space="preserve"> при выявлении детей, находящихся в условиях, представляющих угрозу их жизни и здоровью и принятию незамедлительных мер по их защите </w:t>
      </w:r>
      <w:r>
        <w:rPr>
          <w:b/>
          <w:bCs/>
        </w:rPr>
        <w:t>является</w:t>
      </w:r>
      <w:r>
        <w:rPr/>
        <w:t xml:space="preserve"> создание благоприятных условий для сохранения их жизни и здоровья.</w:t>
      </w:r>
    </w:p>
    <w:p>
      <w:pPr>
        <w:pStyle w:val="Normal"/>
        <w:spacing w:before="57" w:after="57"/>
        <w:jc w:val="both"/>
        <w:rPr/>
      </w:pPr>
      <w:r>
        <w:rPr/>
        <w:tab/>
      </w:r>
      <w:r>
        <w:rPr>
          <w:b/>
          <w:bCs/>
        </w:rPr>
        <w:t>Основными задачами</w:t>
      </w:r>
      <w:r>
        <w:rPr/>
        <w:t xml:space="preserve"> для достижения поставленной цели </w:t>
      </w:r>
      <w:r>
        <w:rPr>
          <w:b/>
          <w:bCs/>
        </w:rPr>
        <w:t>являются:</w:t>
      </w:r>
      <w:r>
        <w:rPr/>
        <w:br/>
        <w:t>- оказание незамедлительной помощи ребенку, находящемуся в обстановке, создающей угрозу его жизни или здоровью;</w:t>
        <w:br/>
        <w:t>- повышение оперативности в получении информации о несовершеннолетних, находящихся в обстановке, представляющей угрозу жизни и здоровью, для своевременного принятия соответствующих мер по их защите;</w:t>
        <w:br/>
        <w:t>- организация межведомственного взаимодействия при выявлении и изъятии детей при непосредственной угрозе их жизни или здоровью.</w:t>
      </w:r>
    </w:p>
    <w:p>
      <w:pPr>
        <w:pStyle w:val="Style18"/>
        <w:spacing w:before="57" w:after="57"/>
        <w:jc w:val="both"/>
        <w:rPr>
          <w:b/>
          <w:b/>
          <w:bCs/>
        </w:rPr>
      </w:pPr>
      <w:r>
        <w:rPr>
          <w:b/>
          <w:bCs/>
        </w:rPr>
        <w:tab/>
        <w:t>Виды деятельности, осуществляемой в рамках межведомственного взаимодействия:</w:t>
      </w:r>
    </w:p>
    <w:p>
      <w:pPr>
        <w:pStyle w:val="Style18"/>
        <w:jc w:val="both"/>
        <w:rPr/>
      </w:pPr>
      <w:r>
        <w:rPr/>
        <w:t>- выявление и устранение причин и условий, способствующих безнадзорности, беспризорности, правонарушениям и антиобщественным действиям несовершеннолетних;</w:t>
      </w:r>
    </w:p>
    <w:p>
      <w:pPr>
        <w:pStyle w:val="Style18"/>
        <w:jc w:val="both"/>
        <w:rPr/>
      </w:pPr>
      <w:r>
        <w:rPr/>
        <w:t>- выявление несовершеннолетних и семей, находящихся в социально опасном положении;</w:t>
      </w:r>
    </w:p>
    <w:p>
      <w:pPr>
        <w:pStyle w:val="Style18"/>
        <w:jc w:val="both"/>
        <w:rPr/>
      </w:pPr>
      <w:r>
        <w:rPr/>
        <w:t>- организация индивидуальной профилактической работы с несовершеннолетними и семьями, находящимися в социально опасном положении;</w:t>
      </w:r>
    </w:p>
    <w:p>
      <w:pPr>
        <w:pStyle w:val="Style18"/>
        <w:jc w:val="both"/>
        <w:rPr/>
      </w:pPr>
      <w:r>
        <w:rPr/>
        <w:t>- общепрофилактическая деятельность в целях предупреждения безнадзорности и правонарушений несовершеннолетних, обеспечения их безопасности, сохранности жизни и здоровья с учетом современных рисков и угроз;</w:t>
      </w:r>
    </w:p>
    <w:p>
      <w:pPr>
        <w:pStyle w:val="Style18"/>
        <w:spacing w:before="57" w:after="57"/>
        <w:jc w:val="center"/>
        <w:rPr>
          <w:b/>
          <w:b/>
          <w:bCs/>
        </w:rPr>
      </w:pPr>
      <w:r>
        <w:rPr>
          <w:b/>
          <w:bCs/>
        </w:rPr>
        <w:t>Условия (требования) организации межведомственного взаимодействия:</w:t>
      </w:r>
    </w:p>
    <w:p>
      <w:pPr>
        <w:pStyle w:val="Style18"/>
        <w:numPr>
          <w:ilvl w:val="0"/>
          <w:numId w:val="3"/>
        </w:numPr>
        <w:jc w:val="both"/>
        <w:rPr/>
      </w:pPr>
      <w:r>
        <w:rPr/>
        <w:t>разграничение функций между субъектами взаимодействия на всех уровнях совместной работы (определение конкретных исполнителей, закрепление за ними перечня мер в рамках ведомственной компетенции и выработанных при согласовании регламента взаимодействия по соответствующему вопросу, а также установление сроков исполнения мер);</w:t>
      </w:r>
    </w:p>
    <w:p>
      <w:pPr>
        <w:pStyle w:val="Style18"/>
        <w:numPr>
          <w:ilvl w:val="0"/>
          <w:numId w:val="3"/>
        </w:numPr>
        <w:jc w:val="both"/>
        <w:rPr/>
      </w:pPr>
      <w:r>
        <w:rPr/>
        <w:t>обеспечение конфиденциальности, полученной в процессе межведомственного взаимодействия информации;</w:t>
      </w:r>
    </w:p>
    <w:p>
      <w:pPr>
        <w:pStyle w:val="Style18"/>
        <w:numPr>
          <w:ilvl w:val="0"/>
          <w:numId w:val="3"/>
        </w:numPr>
        <w:jc w:val="both"/>
        <w:rPr/>
      </w:pPr>
      <w:r>
        <w:rPr/>
        <w:t>активное и ответственное исполнение позиций порядка межведомственного взаимодействия, в том числе в части:</w:t>
      </w:r>
    </w:p>
    <w:p>
      <w:pPr>
        <w:pStyle w:val="Style18"/>
        <w:numPr>
          <w:ilvl w:val="0"/>
          <w:numId w:val="3"/>
        </w:numPr>
        <w:jc w:val="both"/>
        <w:rPr/>
      </w:pPr>
      <w:r>
        <w:rPr/>
        <w:t>соблюдения сроков исполнения мероприятий, качества исполнения совместно принятых решений,</w:t>
      </w:r>
    </w:p>
    <w:p>
      <w:pPr>
        <w:pStyle w:val="Style18"/>
        <w:numPr>
          <w:ilvl w:val="0"/>
          <w:numId w:val="3"/>
        </w:numPr>
        <w:jc w:val="both"/>
        <w:rPr/>
      </w:pPr>
      <w:r>
        <w:rPr/>
        <w:t>своевременного и полного информирования координатора межведомственного взаимодействия, заинтересованных участников взаимодействия об исполнении мероприятий, совместно принятых решений;</w:t>
      </w:r>
    </w:p>
    <w:p>
      <w:pPr>
        <w:pStyle w:val="Style18"/>
        <w:numPr>
          <w:ilvl w:val="0"/>
          <w:numId w:val="3"/>
        </w:numPr>
        <w:jc w:val="both"/>
        <w:rPr/>
      </w:pPr>
      <w:r>
        <w:rPr/>
        <w:t>своевременного информирования координатора межведомственного взаимодействия о выявленных недостатках в организации и осуществлении межведомственного взаимодействия;</w:t>
      </w:r>
    </w:p>
    <w:p>
      <w:pPr>
        <w:pStyle w:val="Style18"/>
        <w:numPr>
          <w:ilvl w:val="0"/>
          <w:numId w:val="3"/>
        </w:numPr>
        <w:jc w:val="both"/>
        <w:rPr/>
      </w:pPr>
      <w:r>
        <w:rPr/>
        <w:t>осуществления приема информации по направлению профилактической деятельности с учетом компетенции в сфере профилактики не только путем передачи сведений в письменной (электронной) форме, но и при выявлении в рамках межведомственных мероприятий (заседаний комиссии, совещаний, рабочих встреч);</w:t>
      </w:r>
    </w:p>
    <w:p>
      <w:pPr>
        <w:pStyle w:val="Style18"/>
        <w:numPr>
          <w:ilvl w:val="0"/>
          <w:numId w:val="3"/>
        </w:numPr>
        <w:jc w:val="both"/>
        <w:rPr/>
      </w:pPr>
      <w:r>
        <w:rPr/>
        <w:t>исключение дублирования действий в процессе межведомственного взаимодействия, в том числе в ходе сбора и обработки информации о несовершеннолетних и семьях, находящихся в социально опасном положении;</w:t>
      </w:r>
    </w:p>
    <w:p>
      <w:pPr>
        <w:pStyle w:val="Normal"/>
        <w:spacing w:before="0" w:after="0"/>
        <w:jc w:val="center"/>
        <w:rPr/>
      </w:pPr>
      <w:r>
        <w:rPr>
          <w:b/>
          <w:bCs/>
        </w:rPr>
        <w:t xml:space="preserve">Сроки, устанавливаемые в рамках информационного </w:t>
        <w:br/>
        <w:t xml:space="preserve">взаимодействия - обмена информацией по вопросам организации </w:t>
        <w:br/>
        <w:t xml:space="preserve">профилактической работы органами и учреждениями </w:t>
        <w:br/>
        <w:t>системы профилактики.</w:t>
      </w:r>
    </w:p>
    <w:p>
      <w:pPr>
        <w:pStyle w:val="Style18"/>
        <w:jc w:val="both"/>
        <w:rPr/>
      </w:pPr>
      <w:r>
        <w:rPr/>
        <w:t>Информация направляется:</w:t>
      </w:r>
    </w:p>
    <w:p>
      <w:pPr>
        <w:pStyle w:val="Style18"/>
        <w:jc w:val="both"/>
        <w:rPr/>
      </w:pPr>
      <w:r>
        <w:rPr/>
        <w:t>а) в течение трех календарных дней со дня выявления признаков социально опасного положения в отношении несовершеннолетних и их семей, со дня выявления сведений об изменения места жительства семьи или несовершеннолетнего, находящихся в социально опасном положении - в орган, осуществляющий учет несовершеннолетних и семей указанной категории, и в территориальную (муниципальную) комиссию;</w:t>
      </w:r>
    </w:p>
    <w:p>
      <w:pPr>
        <w:pStyle w:val="Style18"/>
        <w:jc w:val="both"/>
        <w:rPr/>
      </w:pPr>
      <w:r>
        <w:rPr/>
        <w:t>б) в течение семи календарных дней со дня поступления сведений об изменении места жительства семьи или несовершеннолетнего, находящихся в социально опасном положении, органом, осуществляющим учет несовершеннолетних и семей указанной категории, - в орган, осуществляющий учет не совершеннолетних и семей указанной категории, и в территориальную (муниципальную) комиссию по новому месту жительства;</w:t>
      </w:r>
    </w:p>
    <w:p>
      <w:pPr>
        <w:pStyle w:val="Style18"/>
        <w:jc w:val="both"/>
        <w:rPr/>
      </w:pPr>
      <w:r>
        <w:rPr/>
        <w:t>в) в течение десяти календарных дней со дня принятия решения о постановке семьи или несовершеннолетнего на ведомственный учет (снятии с учета) - в территориальную (муниципальную) комиссию;</w:t>
      </w:r>
    </w:p>
    <w:p>
      <w:pPr>
        <w:pStyle w:val="Style18"/>
        <w:jc w:val="both"/>
        <w:rPr/>
      </w:pPr>
      <w:r>
        <w:rPr/>
        <w:t>г) в течение трех календарных дней со дня выявления сведений о прибытии на территорию по причине изменения места жительства семьи или несовершеннолетнего, находящихся в социально опасном положении, - в соответствующие органы и учреждения системы профилактики, территориальную (муниципальную) комиссию по прежнему месту жительства с запросом сведений о проведенной индивидуальной профилактической работе;</w:t>
      </w:r>
    </w:p>
    <w:p>
      <w:pPr>
        <w:pStyle w:val="Style18"/>
        <w:jc w:val="both"/>
        <w:rPr/>
      </w:pPr>
      <w:r>
        <w:rPr/>
        <w:t>д) незамедлительно о выявлении и помещении сотрудником органа внутренних дел (представителем иного органа или учреждения системы профилактики) в организацию для детей-сирот и детей, оставшихся без попечения родителей (образовательную организацию; организацию, предоставляющую социальные услуги; медицинскую организацию), безнадзорного и (или) беспризорного несовершеннолетнего - в орган опеки и попечительства по месту расположения организации и по месту жительства ребенка, орган управления социальной защитой населения, территориальную (муниципальную) комиссию по месту жительства ребенка;</w:t>
      </w:r>
    </w:p>
    <w:p>
      <w:pPr>
        <w:pStyle w:val="Style18"/>
        <w:jc w:val="both"/>
        <w:rPr/>
      </w:pPr>
      <w:r>
        <w:rPr/>
        <w:t>е) ежегодно до 10 января года, следующего за отчетным, в целях обеспечения федерального статистического наблюдения в сфере профилактики сведения о несовершеннолетних, в отношении которых органами и учреждениями системы профилактики проводилась индивидуальная профилактическая работа в отчетном году, - в территориальную (муниципальную) комиссию;</w:t>
      </w:r>
    </w:p>
    <w:p>
      <w:pPr>
        <w:pStyle w:val="Style18"/>
        <w:jc w:val="both"/>
        <w:rPr/>
      </w:pPr>
      <w:r>
        <w:rPr/>
        <w:t>ж) в течение трех календарных дней со дня выявления случаев нарушения прав несовершеннолетних на образование, труд, отдых, жилище и других прав - в соответствующие органы и учреждения системы профилактики, в том числе в территориальную (муниципальную) комиссию;</w:t>
      </w:r>
    </w:p>
    <w:p>
      <w:pPr>
        <w:pStyle w:val="Style18"/>
        <w:jc w:val="both"/>
        <w:rPr/>
      </w:pPr>
      <w:r>
        <w:rPr/>
        <w:t>з) незамедлительно при выявлении чрезвычайных ситуаций с участием несовершеннолетних (при выявлении несовершеннолетних, нуждающихся в социально-педагогической реабилитации [ставших жертвами правонарушений, травли [буллинга], совершивших попытки суицида, пострадавших от несчастных случаев при пожарах, выпадении из окон и в иных случаях) - в соответствующие органы и учреждения системы профилактики, в том числе в территориальную (муниципальную) комиссию;</w:t>
      </w:r>
    </w:p>
    <w:p>
      <w:pPr>
        <w:pStyle w:val="Style18"/>
        <w:jc w:val="both"/>
        <w:rPr/>
      </w:pPr>
      <w:r>
        <w:rPr/>
        <w:t>л) в течение десяти календарных дней со дня вынесения комиссией постановления о реализации конкретных мер по защите прав и интересов детей - заинтересованные органы и учреждения системы профилактики, в том числе по месту жительства лиц, совершивших противоправные деяния или нуждающихся в помощи государства.</w:t>
      </w:r>
    </w:p>
    <w:p>
      <w:pPr>
        <w:pStyle w:val="Style18"/>
        <w:jc w:val="both"/>
        <w:rPr/>
      </w:pPr>
      <w:r>
        <w:rPr/>
        <w:t>Сроки в рамках информационного взаимодействия органов и учреждений системы профилактики по иным вопросам в сфере профилактики могут устанавливаться в актах, регламентирующих вопросы взаимодействия, с учетом организации их согласования субъектами взаимодействия.</w:t>
      </w:r>
    </w:p>
    <w:p>
      <w:pPr>
        <w:pStyle w:val="Style18"/>
        <w:jc w:val="both"/>
        <w:rPr>
          <w:b/>
          <w:b/>
          <w:bCs/>
        </w:rPr>
      </w:pPr>
      <w:r>
        <w:rPr>
          <w:b/>
          <w:bCs/>
        </w:rPr>
        <w:tab/>
        <w:t>В случае отсутствия установленных законодательством Российской Федерации и (или) законодательством субъектов Российской Федерации сроков исполнения конкретных мероприятий, принятия мер в рамках компетенции органами и учреждениями системы профилактики - субъектами межведомственного взаимодействия сроки могут устанавливаться в постановлениях комиссий, а также в иных актах, регламентирующих вопросы взаимодействия в сфере профилактики.</w:t>
      </w:r>
    </w:p>
    <w:p>
      <w:pPr>
        <w:pStyle w:val="Style18"/>
        <w:jc w:val="center"/>
        <w:rPr>
          <w:b/>
          <w:b/>
          <w:bCs/>
        </w:rPr>
      </w:pPr>
      <w:r>
        <w:rPr>
          <w:b/>
          <w:bCs/>
        </w:rPr>
        <w:t>Оценка  процесса и результатов межведомственного взаимодействия</w:t>
      </w:r>
    </w:p>
    <w:p>
      <w:pPr>
        <w:pStyle w:val="Style18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  <w:t>При оценке процесса и результатов межведомственного взаимодействия могут применяться критерии, отражающие:</w:t>
      </w:r>
    </w:p>
    <w:p>
      <w:pPr>
        <w:pStyle w:val="Style18"/>
        <w:jc w:val="both"/>
        <w:rPr/>
      </w:pPr>
      <w:r>
        <w:rPr/>
        <w:t>- положительное разрешение (устранение) проблемной ситуации;</w:t>
      </w:r>
    </w:p>
    <w:p>
      <w:pPr>
        <w:pStyle w:val="Style18"/>
        <w:jc w:val="both"/>
        <w:rPr/>
      </w:pPr>
      <w:r>
        <w:rPr/>
        <w:t>- положительную динамику поведения несовершеннолетнего, ситуации в семье, находящейся в социально опасном положении;</w:t>
      </w:r>
    </w:p>
    <w:p>
      <w:pPr>
        <w:pStyle w:val="Style18"/>
        <w:jc w:val="both"/>
        <w:rPr/>
      </w:pPr>
      <w:r>
        <w:rPr/>
        <w:t>- исполнение субъектом межведомственного взаимодействия полномочий, профилактических мер и (или) мероприятий в полном объеме;</w:t>
      </w:r>
    </w:p>
    <w:p>
      <w:pPr>
        <w:pStyle w:val="Style18"/>
        <w:jc w:val="both"/>
        <w:rPr/>
      </w:pPr>
      <w:r>
        <w:rPr/>
        <w:t>- своевременность реагирования в рамках межведомственного взаимодействия участником процесса, информирования о выявленных фактах и обстоятельствах;</w:t>
      </w:r>
    </w:p>
    <w:p>
      <w:pPr>
        <w:pStyle w:val="Style18"/>
        <w:jc w:val="both"/>
        <w:rPr/>
      </w:pPr>
      <w:r>
        <w:rPr/>
        <w:t>- выявление сведений и предотвращение планируемых противоправных деяний, вовлечения несовершеннолетних в совершение противоправных деяний;</w:t>
      </w:r>
    </w:p>
    <w:p>
      <w:pPr>
        <w:pStyle w:val="Style18"/>
        <w:jc w:val="both"/>
        <w:rPr/>
      </w:pPr>
      <w:r>
        <w:rPr/>
        <w:t>- обеспечение сохранности жизни и здоровья несовершеннолетних, восстановления их прав и законных интересов;</w:t>
      </w:r>
    </w:p>
    <w:p>
      <w:pPr>
        <w:pStyle w:val="Style18"/>
        <w:jc w:val="both"/>
        <w:rPr/>
      </w:pPr>
      <w:r>
        <w:rPr/>
        <w:t>- иные.</w:t>
      </w:r>
    </w:p>
    <w:p>
      <w:pPr>
        <w:pStyle w:val="Style18"/>
        <w:spacing w:before="0" w:after="140"/>
        <w:jc w:val="both"/>
        <w:rPr/>
      </w:pPr>
      <w:r>
        <w:rPr>
          <w:b/>
          <w:bCs/>
        </w:rPr>
        <w:tab/>
      </w:r>
      <w:r>
        <w:rPr/>
        <w:t>Результаты контроля и оценки результатов межведомственного взаимодействия доводятся до сведения всех его участников в рамках межведомственного мероприятия (заседания комиссии, совещания, рабочей встречи) с выработкой комплекса мер по устранению выявленных недостатков, применением методов поощрения в отношении субъектов межведомственного взаимодействия, показавших высокую эффективность работы.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Маркеры списка"/>
    <w:qFormat/>
    <w:rPr>
      <w:rFonts w:ascii="OpenSymbol" w:hAnsi="OpenSymbol" w:eastAsia="OpenSymbol" w:cs="OpenSymbol"/>
    </w:rPr>
  </w:style>
  <w:style w:type="character" w:styleId="Style15" w:customStyle="1">
    <w:name w:val="Символ нумерации"/>
    <w:qFormat/>
    <w:rPr/>
  </w:style>
  <w:style w:type="character" w:styleId="Style16" w:customStyle="1">
    <w:name w:val="Интернет-ссылка"/>
    <w:rPr>
      <w:color w:val="000080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Style22">
    <w:name w:val="Title"/>
    <w:basedOn w:val="Normal"/>
    <w:next w:val="Style18"/>
    <w:uiPriority w:val="10"/>
    <w:qFormat/>
    <w:pPr>
      <w:keepNext w:val="true"/>
      <w:spacing w:before="240" w:after="120"/>
    </w:pPr>
    <w:rPr>
      <w:rFonts w:ascii="Liberation Sans" w:hAnsi="Liberation Sans" w:eastAsia="Noto Sans CJK SC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23" w:customStyle="1">
    <w:name w:val="Содержимое таблицы"/>
    <w:basedOn w:val="Normal"/>
    <w:qFormat/>
    <w:pPr>
      <w:suppressLineNumbers/>
    </w:pPr>
    <w:rPr/>
  </w:style>
  <w:style w:type="paragraph" w:styleId="Style24" w:customStyle="1">
    <w:name w:val="Заголовок таблицы"/>
    <w:basedOn w:val="Style23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Application>LibreOffice/6.4.7.2$Linux_X86_64 LibreOffice_project/40$Build-2</Application>
  <Pages>4</Pages>
  <Words>1199</Words>
  <Characters>9246</Characters>
  <CharactersWithSpaces>10370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2022-11-26T11:47:00Z</dcterms:created>
  <dc:creator/>
  <dc:description/>
  <dc:language>ru-RU</dc:language>
  <cp:lastModifiedBy/>
  <dcterms:modified xsi:type="dcterms:W3CDTF">2022-11-29T15:09:49Z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