
<file path=[Content_Types].xml><?xml version="1.0" encoding="utf-8"?>
<Types xmlns="http://schemas.openxmlformats.org/package/2006/content-types">
  <Default Extension="xlsx" ContentType="application/vnd.openxmlformats-officedocument.spreadsheetml.sheet"/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charts/chart1.xml" ContentType="application/vnd.openxmlformats-officedocument.drawingml.chart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val="ru-RU"/>
        </w:rPr>
        <w:t xml:space="preserve">Центр образования «Аксиома»</w:t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Каменск-Уральского городского округа</w:t>
      </w:r>
      <w:r/>
      <w:r>
        <w:rPr>
          <w:rFonts w:ascii="Times New Roman" w:hAnsi="Times New Roman" w:cs="Times New Roman"/>
          <w:sz w:val="28"/>
          <w:szCs w:val="28"/>
        </w:rPr>
      </w:r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  <w:t xml:space="preserve">Свердловской области</w:t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</w:rPr>
      </w:r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</w:rPr>
      </w:r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</w:rPr>
      </w:r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b/>
          <w:color w:val="000000"/>
          <w:sz w:val="28"/>
          <w:szCs w:val="28"/>
        </w:rPr>
        <w:t xml:space="preserve">Консультация для родителей</w:t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b/>
          <w:color w:val="000000"/>
          <w:sz w:val="28"/>
          <w:szCs w:val="28"/>
        </w:rPr>
        <w:t xml:space="preserve">Тема: «Совместная работа педагогов и родителей </w:t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b/>
          <w:color w:val="000000"/>
          <w:sz w:val="28"/>
          <w:szCs w:val="28"/>
        </w:rPr>
        <w:t xml:space="preserve">по развитию произвольного внимания младших школьников</w:t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b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b/>
          <w:color w:val="000000"/>
          <w:sz w:val="28"/>
          <w:szCs w:val="28"/>
        </w:rPr>
        <w:t xml:space="preserve"> с задержкой психического развития</w:t>
      </w:r>
      <w:r>
        <w:rPr>
          <w:rFonts w:ascii="Times New Roman" w:hAnsi="Times New Roman" w:cs="Times New Roman" w:eastAsia="Calibri"/>
          <w:b/>
          <w:color w:val="000000"/>
          <w:sz w:val="28"/>
          <w:szCs w:val="28"/>
        </w:rPr>
        <w:t xml:space="preserve">»</w:t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ind w:left="720"/>
        <w:jc w:val="center"/>
        <w:spacing w:lineRule="auto" w:line="240"/>
        <w:rPr>
          <w:rFonts w:ascii="Times New Roman" w:hAnsi="Times New Roman" w:cs="Times New Roman" w:eastAsia="Calibri"/>
          <w:color w:val="000000"/>
          <w:sz w:val="28"/>
          <w:szCs w:val="28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  <w:t xml:space="preserve">Разработчик:</w:t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  <w:t xml:space="preserve">Ситникова Татьяна Сергеевна,</w:t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  <w:t xml:space="preserve">учитель начальных классов, педагог-психолог</w:t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 w:eastAsia="Calibri"/>
          <w:color w:val="000000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2022 г.</w:t>
      </w:r>
      <w:r/>
    </w:p>
    <w:p>
      <w:pPr>
        <w:ind w:firstLine="709"/>
        <w:jc w:val="center"/>
        <w:spacing w:lineRule="auto" w:line="240" w:after="0" w:before="160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Пояснительная записка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Одной из важнейших задач образования в соответствии с ФГОС является обеспечение условий для развития всех учащихся, в особенности тех, кто в наибольшей степени нуждается в специальных условиях обучения - детей с задержкой психического развития.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Всё большее число ребят относят к группе риска - проблемным: интеллектуально пассивн</w:t>
      </w:r>
      <w:r>
        <w:rPr>
          <w:rFonts w:ascii="Times New Roman" w:hAnsi="Times New Roman" w:cs="Times New Roman"/>
          <w:sz w:val="28"/>
          <w:szCs w:val="28"/>
        </w:rPr>
        <w:t xml:space="preserve">ым, испытывающим трудности в обучении, поведении. Повышенная уязвимость  детей из группы риска требует большего внимания к индивидуализации образовательного процесса с учетом социальной и психолого-педагогической компенсации трудностей развития и обучения.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Задача школы - оказывать консультативную и методическую помощь ро</w:t>
      </w:r>
      <w:r>
        <w:rPr>
          <w:rFonts w:ascii="Times New Roman" w:hAnsi="Times New Roman" w:cs="Times New Roman"/>
          <w:sz w:val="28"/>
          <w:szCs w:val="28"/>
        </w:rPr>
        <w:t xml:space="preserve">дителям (законным представителям) детей с задержкой психического развития по психологическим, социальным, пра</w:t>
      </w:r>
      <w:r>
        <w:rPr>
          <w:rFonts w:ascii="Times New Roman" w:hAnsi="Times New Roman" w:cs="Times New Roman"/>
          <w:sz w:val="28"/>
          <w:szCs w:val="28"/>
        </w:rPr>
        <w:t xml:space="preserve">вовым и другим вопросам.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Психолого-педагогическое сопровождение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ребенка с ЗПР можно рассматривать как комплексную технологию психолого-педагогической поддержки и помощи ребенку и родителям в решении задач развития, обучения, воспитания, социализации со стороны специалистов разного профиля, действующих координировано. 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Важное значение для обеспечения эффективной интеграции детей с ЗПР в образовательном учреждении имеет проведение информационно-просветительской, разъяснительной работы по вопросам, связанным с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особенностями образовательного процесса для данной категории детей, со всеми участниками образовательного процесса — учащимися (как имеющими, так и не имеющими недостатки в развитии), их родителями (законными представителями), педагогическими работниками.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каждом конкретном случае определяются ведущие направлени</w:t>
      </w:r>
      <w:r>
        <w:rPr>
          <w:rFonts w:ascii="Times New Roman" w:hAnsi="Times New Roman" w:cs="Times New Roman"/>
          <w:sz w:val="28"/>
          <w:szCs w:val="28"/>
        </w:rPr>
        <w:t xml:space="preserve">я в работе с ребенком. Для большинства</w:t>
      </w:r>
      <w:r>
        <w:rPr>
          <w:rFonts w:ascii="Times New Roman" w:hAnsi="Times New Roman" w:cs="Times New Roman"/>
          <w:sz w:val="28"/>
          <w:szCs w:val="28"/>
        </w:rPr>
        <w:t xml:space="preserve"> детей на первый план выступает формирование произвольной деятельности, </w:t>
      </w:r>
      <w:r>
        <w:rPr>
          <w:rFonts w:ascii="Times New Roman" w:hAnsi="Times New Roman" w:cs="Times New Roman"/>
          <w:sz w:val="28"/>
          <w:szCs w:val="28"/>
        </w:rPr>
        <w:t xml:space="preserve">развитие основных свойств внимания, </w:t>
      </w:r>
      <w:r>
        <w:rPr>
          <w:rFonts w:ascii="Times New Roman" w:hAnsi="Times New Roman" w:cs="Times New Roman"/>
          <w:sz w:val="28"/>
          <w:szCs w:val="28"/>
        </w:rPr>
        <w:t xml:space="preserve">выработка навыка самоконтроля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709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Эти рекомендации психолог обсуждает с учителем, медицинским работником и родителями, осуществляя постоянное взаимодействие. Составляется комплексный план оказани</w:t>
      </w:r>
      <w:r>
        <w:rPr>
          <w:rFonts w:ascii="Times New Roman" w:hAnsi="Times New Roman" w:cs="Times New Roman"/>
          <w:sz w:val="28"/>
          <w:szCs w:val="28"/>
        </w:rPr>
        <w:t xml:space="preserve">я ребенку медико-психолого-педагогической помощи с указанием этапов и методов коррекционной работы. Обращается внимание на предупреждение физических, интеллектуальных и эмоциональных перегрузок, проведение своевременных лечебно-оздоровительных мероприятий.</w:t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Создание </w:t>
      </w:r>
      <w:r>
        <w:rPr>
          <w:rFonts w:ascii="Times New Roman" w:hAnsi="Times New Roman" w:cs="Times New Roman"/>
          <w:sz w:val="28"/>
          <w:szCs w:val="28"/>
        </w:rPr>
        <w:t xml:space="preserve">плана совместной работы родителей и специалистов школы по развитию основных свойств внимания детей с задержкой психического развития.</w:t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Задачи. </w:t>
      </w:r>
      <w:r>
        <w:rPr>
          <w:rFonts w:ascii="Times New Roman" w:hAnsi="Times New Roman" w:cs="Times New Roman"/>
          <w:sz w:val="28"/>
          <w:szCs w:val="28"/>
        </w:rPr>
        <w:t xml:space="preserve">1. Актуализировать теоретические знания по проблеме.</w:t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2. Создать еди</w:t>
      </w:r>
      <w:r>
        <w:rPr>
          <w:rFonts w:ascii="Times New Roman" w:hAnsi="Times New Roman" w:cs="Times New Roman"/>
          <w:sz w:val="28"/>
          <w:szCs w:val="28"/>
        </w:rPr>
        <w:t xml:space="preserve">ную систему условий для развития основных свойств внимания д</w:t>
      </w:r>
      <w:r>
        <w:rPr>
          <w:rFonts w:ascii="Times New Roman" w:hAnsi="Times New Roman" w:cs="Times New Roman"/>
          <w:sz w:val="28"/>
          <w:szCs w:val="28"/>
        </w:rPr>
        <w:t xml:space="preserve">етей с</w:t>
      </w:r>
      <w:r>
        <w:rPr>
          <w:rFonts w:ascii="Times New Roman" w:hAnsi="Times New Roman" w:cs="Times New Roman"/>
          <w:sz w:val="28"/>
          <w:szCs w:val="28"/>
        </w:rPr>
        <w:t xml:space="preserve"> задержкой психического развития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709"/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3. Подобрат</w:t>
      </w:r>
      <w:r>
        <w:rPr>
          <w:rFonts w:ascii="Times New Roman" w:hAnsi="Times New Roman" w:cs="Times New Roman"/>
          <w:sz w:val="28"/>
          <w:szCs w:val="28"/>
        </w:rPr>
        <w:t xml:space="preserve">ь упражнения и игры, направленные на развитие</w:t>
      </w:r>
      <w:r>
        <w:rPr>
          <w:rFonts w:ascii="Times New Roman" w:hAnsi="Times New Roman" w:cs="Times New Roman"/>
          <w:sz w:val="28"/>
          <w:szCs w:val="28"/>
        </w:rPr>
        <w:t xml:space="preserve"> внимания</w:t>
      </w:r>
      <w:r>
        <w:rPr>
          <w:rFonts w:ascii="Times New Roman" w:hAnsi="Times New Roman" w:cs="Times New Roman"/>
          <w:sz w:val="28"/>
          <w:szCs w:val="28"/>
        </w:rPr>
        <w:t xml:space="preserve"> для использования в домашних условиях.</w:t>
      </w:r>
      <w:r/>
    </w:p>
    <w:p>
      <w:pPr>
        <w:ind w:firstLine="709"/>
        <w:jc w:val="both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Целевая аудитория: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родители учащихся с задержкой психического развития.</w:t>
      </w:r>
      <w:r/>
    </w:p>
    <w:p>
      <w:pPr>
        <w:ind w:firstLine="709"/>
        <w:jc w:val="both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Уровень проведения мероприятия: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образовательная организация (центр образования «Аксиома»</w:t>
      </w:r>
      <w:r/>
    </w:p>
    <w:p>
      <w:pPr>
        <w:ind w:firstLine="709"/>
        <w:jc w:val="both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Условия проведения: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к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абинет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психолога</w:t>
      </w:r>
      <w:r/>
    </w:p>
    <w:p>
      <w:pPr>
        <w:ind w:firstLine="709"/>
        <w:jc w:val="both"/>
        <w:spacing w:lineRule="auto" w:line="240" w:after="0" w:before="160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Количество участников: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12-15 человек</w:t>
      </w:r>
      <w:r/>
    </w:p>
    <w:p>
      <w:pPr>
        <w:jc w:val="both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          </w:t>
      </w: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Продолжительность: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 1 час.</w:t>
      </w:r>
      <w:r/>
    </w:p>
    <w:p>
      <w:pPr>
        <w:jc w:val="both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both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tbl>
      <w:tblPr>
        <w:tblW w:w="10800" w:type="dxa"/>
        <w:tblInd w:w="-612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2307"/>
        <w:gridCol w:w="8493"/>
      </w:tblGrid>
      <w:tr>
        <w:trPr/>
        <w:tc>
          <w:tcPr>
            <w:tcW w:w="2307" w:type="dxa"/>
            <w:textDirection w:val="lrTb"/>
            <w:noWrap w:val="false"/>
          </w:tcPr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8493" w:type="dxa"/>
            <w:textDirection w:val="lrTb"/>
            <w:noWrap w:val="false"/>
          </w:tcPr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2307" w:type="dxa"/>
            <w:textDirection w:val="lrTb"/>
            <w:noWrap w:val="false"/>
          </w:tcPr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отивационный этап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8493" w:type="dxa"/>
            <w:textDirection w:val="lrTb"/>
            <w:noWrap w:val="false"/>
          </w:tcPr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Уважаемые родители!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Обратите внимание 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данную диаграмму (приложение 1)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вы думаете, исследуя какой познавательный процесс могли быть получены такие результаты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(четвертая диаграмма)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?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 правы - это результаты исследования развития основных свойств внимания. Как вы заметили, очень большой процент детей в классе имеют средний и низкий уровень развития произвольности внимания.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Соответственно возникают вопросы: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-Как оказать эффективную помощь и поддержку детям?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-В каком случае привлечь психолога и других специалистов?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Сегодня мы пос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тараемся на них ответить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Таким образом, мы можем обозначить тему консультации «</w:t>
            </w:r>
            <w:r>
              <w:rPr>
                <w:rFonts w:ascii="Times New Roman" w:hAnsi="Times New Roman" w:cs="Times New Roman" w:eastAsia="Calibri"/>
                <w:color w:val="000000"/>
                <w:sz w:val="28"/>
                <w:szCs w:val="28"/>
              </w:rPr>
              <w:t xml:space="preserve">Совместная работа педагогов и родителей по развитию произвольного внимания младших школьников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».</w:t>
            </w:r>
            <w:r/>
          </w:p>
        </w:tc>
      </w:tr>
      <w:tr>
        <w:trPr/>
        <w:tc>
          <w:tcPr>
            <w:tcW w:w="2307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Актуализация теоретических знаний</w:t>
            </w:r>
            <w:r/>
          </w:p>
        </w:tc>
        <w:tc>
          <w:tcPr>
            <w:tcW w:w="8493" w:type="dxa"/>
            <w:textDirection w:val="lrTb"/>
            <w:noWrap w:val="false"/>
          </w:tcPr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Для того,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осуществить эффективную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поддержку детям с нарушениями внимания, нам с вами необходимо актуализировать и систематизировать осно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вные понятия по данной проблеме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показ презентации)</w:t>
            </w:r>
            <w:bookmarkStart w:id="0" w:name="_GoBack"/>
            <w:r/>
            <w:bookmarkEnd w:id="0"/>
            <w:r/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Под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нарушениями внимания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понимают патологические изменения направленности, избирательности психической деятельности, выражающиеся при состоянии утом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ления или органических поражениях мозга, в сужении объекта внимания, когда человек может воспринимать только небольшое число объектов, в неустойчивости внимания, когда нарушена концентрация внимания и наблюдается его отвлекаемость на побочные раздражители.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Причины нарушения внимания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могут быть внешними и внутренними. Внешними причинами можно считать различные негативные воздействия (стрессоры, фрустаторы) и негативные отношения ребенка с окружающими людьми. 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ействие внутренних причин можно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представить как влияние нарушенной части психики на здоровую.</w:t>
            </w:r>
            <w:r/>
          </w:p>
          <w:p>
            <w:pPr>
              <w:ind w:firstLine="720"/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Виды нарушений внимания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</w:t>
            </w:r>
            <w:r/>
          </w:p>
          <w:p>
            <w:pPr>
              <w:ind w:left="360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Отвлекаемость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(отвлечение внимания) – это непроизвольное перемещение внимания с одного объекта на другой. Оно возникает при действии посторонних раздражителей на человека, занятого в этот момент какой-либо деятельностью.</w:t>
            </w:r>
            <w:r/>
          </w:p>
          <w:p>
            <w:pPr>
              <w:ind w:firstLine="720"/>
              <w:jc w:val="both"/>
              <w:spacing w:lineRule="auto" w:line="24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Отвлекаемость может быть </w:t>
            </w: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внешней и внутренней.</w:t>
            </w:r>
            <w:r/>
          </w:p>
          <w:p>
            <w:pPr>
              <w:ind w:firstLine="720"/>
              <w:jc w:val="both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Внешняя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возникает под влиянием внешних раздражителей, при этом произвольное внимание становится непроизвольным.</w:t>
            </w:r>
            <w:r/>
          </w:p>
          <w:p>
            <w:pPr>
              <w:ind w:firstLine="720"/>
              <w:jc w:val="both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Внутренняя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возникает под влиянием переживаний, посторонних эмоций, из-за отсутствия интереса и гиперответственности. Внутренняя отвлекаемость объясняется запредельным торможением, развивающимся под влиянием скучной монотонной работы.</w:t>
            </w:r>
            <w:r/>
          </w:p>
          <w:p>
            <w:pPr>
              <w:ind w:left="44" w:firstLine="720"/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Возможные причины отвлечения внимания у детей: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неполная нагрузка;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недостаточная сформированность волевых качеств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повышенная утомляемость;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плохое самочувствие;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наличие психотравмы;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монотонная, неинтересная деятельность;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неподходящий темп деятельности;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наличие интенсивных посторонних раздражителей.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организовать внимание ребенка, надо включить его в действие, пробудить интеллектуальный интерес к содержанию и результатам деятельности.</w:t>
            </w:r>
            <w:r/>
          </w:p>
          <w:p>
            <w:pPr>
              <w:ind w:firstLine="720"/>
              <w:spacing w:lineRule="auto" w:line="240" w:after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Рассеянность внимания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это неспособность сосредоточиться на чем-либо определенном в течение длительного времени. Термин «рассеянность» обозначает поверхностное, «скользящее» внимание. Рассеянность бывает двух видов: мнимая и подлинная. 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Мнимая рассеянность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это невнимание человека к окружающим предметам и явлениям, вызванное сосредоточенностью на каком-то одном предмете (явлении) или переживании.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Механизмом рассеянности является наличие мощной доминаты – очага возбуждения в коре головного мозга, подавляющие все прочие сигналы, поступающие извне.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Рассеянностью нередко называют и легкую истощаемость внимания, как следствие болезни, переутомления. Болезненные и ослабленные дети могут неплохо работать в начале урока или учебного дня, но вскоре устают, и внимание ослабевает. 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Поверхностное внимание встречается у детей – мечтателей и фантазеров. Такие дети нередко выключаются из урока, уносясь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иллюзорный мир.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В.П. Кащенко указывает еще одну причину рассеянности – переживание страхов, что мешает сосредоточиться на нужном задании. Нервные, гиперактивные и болезненные дети отвлекаются в 1,5-2 раза чаще, чем спокойные и здоровые.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каждом случае необходимо разобраться в причинах нарушений.</w:t>
            </w:r>
            <w:r/>
          </w:p>
          <w:p>
            <w:pPr>
              <w:ind w:left="44" w:firstLine="720"/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Наиболее распространенные причины рассеянного внимания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общее ослабление нервной системы (неврастения);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ухудшение состояния здоровья;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физическое и умственное переутомление;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наличие тяжелых переживаний и травм;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эмоциональная перегрузка вследствие большого количества впечатлений (положительных и отрицательных);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недостатки воспитания (н-р, гиперопека);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- нарушение режима труда и отдыха;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нарушения дыхания;</w:t>
            </w:r>
            <w:r/>
          </w:p>
          <w:p>
            <w:pPr>
              <w:ind w:left="44"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чрезмерная подвижность.</w:t>
            </w:r>
            <w:r/>
          </w:p>
          <w:p>
            <w:pPr>
              <w:ind w:left="44" w:firstLine="720"/>
              <w:spacing w:lineRule="auto" w:line="24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Инертность внимания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малая подвижность внимания, патологическая ее фиксация на ограниченном круге представлений и мыслей.</w:t>
            </w:r>
            <w:r/>
          </w:p>
          <w:p>
            <w:pPr>
              <w:ind w:left="44" w:firstLine="720"/>
              <w:spacing w:lineRule="auto" w:line="240" w:after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Невнимательность требует коррекции, если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определенные признаки проявляются в течение шести и более месяцев.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Рассмотрите карту наблюдений (приложение 3) и отметьте какие пункты проявляются у вашего ребенка.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Чтобы своевременно развивать у детей определенные качества внимания (целенаправленность, устойчивость, сосредоточенность) и способность управлять ими, необходимы специально организованные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условия,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 и игры.</w:t>
            </w:r>
            <w:r/>
          </w:p>
        </w:tc>
      </w:tr>
      <w:tr>
        <w:trPr/>
        <w:tc>
          <w:tcPr>
            <w:tcW w:w="2307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Разработка единого плана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сопровождения.</w:t>
            </w:r>
            <w:r/>
          </w:p>
          <w:p>
            <w:pPr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</w:r>
            <w:r/>
          </w:p>
        </w:tc>
        <w:tc>
          <w:tcPr>
            <w:tcW w:w="8493" w:type="dxa"/>
            <w:textDirection w:val="lrTb"/>
            <w:noWrap w:val="false"/>
          </w:tcPr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мы убедились с Вами,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причины нарушений внимания могут быть разные, поэтому необходима углубленная диагностика специалистов на 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ачальном этапе и Ваша помощь 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их определении. 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братимся к схеме работы психолога с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детьми с нарушениями внимания.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(см. приложение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).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Проведя индивидуальную диагностику, психолог проводит консультации с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Вами, родителями,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Вырабатывается единая система психолого-педагогической поддержки.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Педагог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со своей стороны,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подбирает игры и упражнения для индивидуальной или групповой работы с учащимися (организует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индивидуальный подход при групповой работе).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Психолог проводит коррекционно-развивающие занятия: групповые и индивидуальные.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Какую помощь вы можете оказать специалистам?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Давайте дополним схему.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онечно без консультации и лечения невролога сложно разобраться в конкретной ситуации особенностей развития внимания и других познавательных процессов ребёнка. Совместная работа специалистов, необходимое лечение и развивающая среда дают значительный эффект.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Четкая 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рганизация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режима дня, 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ыработка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единых 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ребований к ребенку, к организации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рабочего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места, по выполнению упражнений - окажет существенную помощь.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Обязательным условием успешной реализации программы по развитию внимания, котору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ю реализует психолог, является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специально созданная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система развивающих игр и упражнений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предметно-развивающая среда в классе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дома.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Попадая в нее, дети с нарушениями внимани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я, смогут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закрепить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умения, приобретенные на занятиях, чувствовать поддержку взрослого (что формирует у детей веру в успех).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итогам проведенной работы психолог информирует родителей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педагога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 результатах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ребенка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динамике развития: что необходимо предпринять для поддержки полученных результатов.</w:t>
            </w:r>
            <w:r/>
          </w:p>
        </w:tc>
      </w:tr>
      <w:tr>
        <w:trPr/>
        <w:tc>
          <w:tcPr>
            <w:tcW w:w="2307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Работа в группах</w:t>
            </w:r>
            <w:r/>
          </w:p>
        </w:tc>
        <w:tc>
          <w:tcPr>
            <w:tcW w:w="8493" w:type="dxa"/>
            <w:textDirection w:val="lrTb"/>
            <w:noWrap w:val="false"/>
          </w:tcPr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йчас мы с вами разделимся на две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группы. Задачей каждой группы будет подбор упражнений и игр на раз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витие основных свойств внимания из представленных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(приложение 4)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Затем представитель от каждой группы проведет с нами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наиболее запомнившиеся и показавшиеся интересными игры. 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 группа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игровой (внеучебной) деятельности;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 группа 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упражнения, дидактические игры для использования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 домашних условиях.</w:t>
            </w:r>
            <w:r/>
          </w:p>
          <w:p>
            <w:pPr>
              <w:ind w:firstLine="720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Представьте пожалуйста подобранный материал в виде таблицы.</w:t>
            </w:r>
            <w:r/>
          </w:p>
        </w:tc>
      </w:tr>
      <w:tr>
        <w:trPr/>
        <w:tc>
          <w:tcPr>
            <w:tcW w:w="2307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Подведение итогов</w:t>
            </w:r>
            <w:r/>
          </w:p>
        </w:tc>
        <w:tc>
          <w:tcPr>
            <w:tcW w:w="8493" w:type="dxa"/>
            <w:textDirection w:val="lrTb"/>
            <w:noWrap w:val="false"/>
          </w:tcPr>
          <w:p>
            <w:pPr>
              <w:spacing w:lineRule="auto" w:line="240" w:after="135"/>
              <w:shd w:val="clear" w:fill="FFFFFF" w:color="FFFFFF"/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         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Участники по кругу передают мяч и отвечают на вопросы:</w:t>
            </w:r>
            <w:r/>
          </w:p>
          <w:p>
            <w:pPr>
              <w:numPr>
                <w:ilvl w:val="0"/>
                <w:numId w:val="3"/>
              </w:numPr>
              <w:ind w:firstLine="720"/>
              <w:spacing w:lineRule="auto" w:line="240" w:after="100" w:afterAutospacing="1" w:before="100" w:beforeAutospacing="1"/>
              <w:shd w:val="clear" w:fill="FFFFFF" w:color="FFFFFF"/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Ч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ем полезна именно для Вас да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нная встреча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, </w:t>
            </w:r>
            <w:r/>
          </w:p>
          <w:p>
            <w:pPr>
              <w:numPr>
                <w:ilvl w:val="0"/>
                <w:numId w:val="3"/>
              </w:numPr>
              <w:ind w:firstLine="720"/>
              <w:spacing w:lineRule="auto" w:line="240" w:after="100" w:afterAutospacing="1" w:before="100" w:beforeAutospacing="1"/>
              <w:shd w:val="clear" w:fill="FFFFFF" w:color="FFFFFF"/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Ч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то Вы могли бы применить в отн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ошении своего ребенка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;</w:t>
            </w:r>
            <w:r/>
          </w:p>
          <w:p>
            <w:pPr>
              <w:numPr>
                <w:ilvl w:val="0"/>
                <w:numId w:val="3"/>
              </w:numPr>
              <w:ind w:firstLine="720"/>
              <w:spacing w:lineRule="auto" w:line="240" w:after="100" w:afterAutospacing="1" w:before="100" w:beforeAutospacing="1"/>
              <w:shd w:val="clear" w:fill="FFFFFF" w:color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Ваши пожелания.</w:t>
            </w:r>
            <w:r/>
          </w:p>
          <w:p>
            <w:pPr>
              <w:spacing w:lineRule="auto" w:line="240" w:after="100" w:afterAutospacing="1" w:before="100" w:beforeAutospacing="1"/>
              <w:shd w:val="clear" w:fill="FFFFFF" w:color="FFFFFF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В завершении консультации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 психолог раздает подготовленные заранее рекомендации, касающиеся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развития основных свойств 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внимания детей,</w:t>
            </w:r>
            <w:r>
              <w:rPr>
                <w:rFonts w:ascii="Times New Roman" w:hAnsi="Times New Roman" w:cs="Times New Roman" w:eastAsia="Times New Roman"/>
                <w:sz w:val="28"/>
                <w:szCs w:val="28"/>
                <w:lang w:eastAsia="ru-RU"/>
              </w:rPr>
              <w:t xml:space="preserve"> перечень упражнений и игр, которые можно использовать в дома, на прогулке, в кругу сверстников.</w:t>
            </w:r>
            <w:r/>
          </w:p>
        </w:tc>
      </w:tr>
    </w:tbl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Материально-техническое обеспечение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проведения консультации необходимо подготовить: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мультимедийный проектор, 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набор дидактических игр на развитие внимания,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распечатанные образцы упражнений,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книги с подобранными упражнениями на развитие внимания, 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бумага, 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фломастеры, 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мяч.</w:t>
      </w:r>
      <w:r/>
    </w:p>
    <w:p>
      <w:pPr>
        <w:jc w:val="both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Список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  <w:r>
        <w:rPr>
          <w:rFonts w:ascii="Times New Roman" w:hAnsi="Times New Roman" w:cs="Times New Roman"/>
          <w:b/>
          <w:sz w:val="28"/>
          <w:szCs w:val="28"/>
        </w:rPr>
        <w:t xml:space="preserve">.</w:t>
      </w:r>
      <w:r/>
    </w:p>
    <w:p>
      <w:pPr>
        <w:numPr>
          <w:ilvl w:val="0"/>
          <w:numId w:val="5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Истратова О.Н. Практикум по детской психокоррекции: игры, упражнения, техники. – Ростов н/Д: Феникс, 2007.</w:t>
      </w:r>
      <w:r/>
    </w:p>
    <w:p>
      <w:pPr>
        <w:numPr>
          <w:ilvl w:val="0"/>
          <w:numId w:val="5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Истратова О.Н., Эксакусто Т.В. Справочник психолога начальной школы (2-е изд.)/ Серия «Справочники». - Ростов н/Д: Феникс, 2004.</w:t>
      </w:r>
      <w:r/>
    </w:p>
    <w:p>
      <w:pPr>
        <w:numPr>
          <w:ilvl w:val="0"/>
          <w:numId w:val="5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Лютова К.К., Монина Г.Б. Тренинг эффективного взаимодействия с детьми. – СПб.: Речь, 2005. </w:t>
      </w:r>
      <w:r/>
    </w:p>
    <w:p>
      <w:pPr>
        <w:numPr>
          <w:ilvl w:val="0"/>
          <w:numId w:val="5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Мамайчук И.И. Психологическая помощь детям с проблемам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и в развитии. – СПб.: Речь, 2006</w:t>
      </w: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. </w:t>
      </w:r>
      <w:r/>
    </w:p>
    <w:p>
      <w:pPr>
        <w:numPr>
          <w:ilvl w:val="0"/>
          <w:numId w:val="5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8"/>
          <w:lang w:eastAsia="ru-RU"/>
        </w:rPr>
        <w:t xml:space="preserve">Овчарова Р.В. Практическая психология в начальной школе. – М.: ТЦ «Сфера», 2001. </w:t>
      </w:r>
      <w:r/>
    </w:p>
    <w:p>
      <w:pPr>
        <w:numPr>
          <w:ilvl w:val="0"/>
          <w:numId w:val="6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  <w:t xml:space="preserve">Осипова А.А. Диагностика и коррекция внимания: Программа для детей 5-9 лет. – М.: ТЦ Сфера, 2004.</w:t>
      </w:r>
      <w:r/>
    </w:p>
    <w:p>
      <w:pPr>
        <w:numPr>
          <w:ilvl w:val="0"/>
          <w:numId w:val="6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  <w:t xml:space="preserve">Руководство практического психолога: Психологическое здоровье детей и подростков в контексте психологической службы / Под ред. И.В. Дубровиной. – 2-е изд. – М.: Издательский</w:t>
      </w:r>
      <w:r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  <w:t xml:space="preserve"> центр «Академия», 1997. </w:t>
      </w:r>
      <w:r/>
    </w:p>
    <w:p>
      <w:pPr>
        <w:numPr>
          <w:ilvl w:val="0"/>
          <w:numId w:val="6"/>
        </w:numPr>
        <w:spacing w:lineRule="auto" w:line="240" w:after="100" w:afterAutospacing="1" w:before="100" w:beforeAutospacing="1"/>
        <w:shd w:val="clear" w:fill="FFFFFF" w:color="FFFFFF"/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</w:pPr>
      <w:r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  <w:t xml:space="preserve">Семаго М.М., Семаго Н.Я. Организация и содержание деятельности психолога специального образования: Методическое по</w:t>
      </w:r>
      <w:r>
        <w:rPr>
          <w:rFonts w:ascii="Times New Roman" w:hAnsi="Times New Roman" w:cs="Times New Roman" w:eastAsia="Times New Roman"/>
          <w:color w:val="333333"/>
          <w:sz w:val="28"/>
          <w:szCs w:val="21"/>
          <w:lang w:eastAsia="ru-RU"/>
        </w:rPr>
        <w:t xml:space="preserve">собие. – М.: АРКТИ, 2005.</w:t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Сведения о разработчике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/>
    </w:p>
    <w:p>
      <w:pPr>
        <w:spacing w:lineRule="auto" w:line="240" w:after="0" w:before="160"/>
        <w:rPr>
          <w:rFonts w:ascii="Times New Roman" w:hAnsi="Times New Roman" w:cs="Times New Roman" w:eastAsia="Times New Roman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851" w:right="794" w:bottom="851" w:left="1260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 w:eastAsia="Calibri"/>
          <w:color w:val="000000"/>
          <w:sz w:val="28"/>
          <w:szCs w:val="32"/>
          <w:lang w:eastAsia="ru-RU"/>
        </w:rPr>
        <w:t xml:space="preserve">Ситникова Татьяна Сергеевна,</w:t>
      </w:r>
      <w:r>
        <w:rPr>
          <w:rFonts w:ascii="Times New Roman" w:hAnsi="Times New Roman" w:cs="Times New Roman" w:eastAsia="Calibri"/>
          <w:color w:val="000000"/>
          <w:sz w:val="28"/>
          <w:szCs w:val="32"/>
          <w:lang w:eastAsia="ru-RU"/>
        </w:rPr>
        <w:t xml:space="preserve"> </w:t>
      </w:r>
      <w:r>
        <w:rPr>
          <w:rFonts w:ascii="Times New Roman" w:hAnsi="Times New Roman" w:cs="Times New Roman" w:eastAsia="Calibri"/>
          <w:color w:val="000000"/>
          <w:sz w:val="28"/>
          <w:szCs w:val="32"/>
          <w:lang w:eastAsia="ru-RU"/>
        </w:rPr>
        <w:t xml:space="preserve">педагог-психолог, пед. стаж 24 года</w:t>
      </w:r>
      <w:r>
        <w:rPr>
          <w:rFonts w:ascii="Times New Roman" w:hAnsi="Times New Roman" w:cs="Times New Roman" w:eastAsia="Calibri"/>
          <w:color w:val="000000"/>
          <w:sz w:val="28"/>
          <w:szCs w:val="32"/>
          <w:lang w:eastAsia="ru-RU"/>
        </w:rPr>
        <w:t xml:space="preserve">,</w:t>
      </w:r>
      <w:r>
        <w:rPr>
          <w:rFonts w:ascii="Times New Roman" w:hAnsi="Times New Roman" w:cs="Times New Roman" w:eastAsia="Calibri"/>
          <w:color w:val="000000"/>
          <w:sz w:val="28"/>
          <w:szCs w:val="32"/>
          <w:lang w:eastAsia="ru-RU"/>
        </w:rPr>
        <w:t xml:space="preserve"> 1 кв. категория.</w:t>
      </w:r>
      <w:r>
        <w:rPr>
          <w:rFonts w:ascii="Times New Roman" w:hAnsi="Times New Roman" w:cs="Times New Roman"/>
          <w:sz w:val="28"/>
          <w:szCs w:val="28"/>
          <w:lang w:val="en-US"/>
        </w:rPr>
      </w:r>
      <w:r/>
    </w:p>
    <w:p>
      <w:pPr>
        <w:jc w:val="right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1</w:t>
      </w:r>
      <w:r/>
    </w:p>
    <w:p>
      <w:pPr>
        <w:jc w:val="right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6603365" cy="4001813"/>
            <wp:effectExtent l="0" t="0" r="0" b="0"/>
            <wp:docPr id="1" name="Диаграмма 2" hidden="false"/>
            <wp:cNvGraphicFramePr>
              <a:graphicFrameLocks xmlns:a="http://schemas.openxmlformats.org/drawingml/2006/main" noChangeAspect="true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</w:t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right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2</w:t>
      </w:r>
      <w:r/>
    </w:p>
    <w:p>
      <w:pPr>
        <w:jc w:val="center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Система сопровождения учащихся</w:t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Психолог         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Педагог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Родители</w:t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4686300</wp:posOffset>
                </wp:positionV>
                <wp:extent cx="1828800" cy="800100"/>
                <wp:effectExtent l="0" t="0" r="0" b="0"/>
                <wp:wrapNone/>
                <wp:docPr id="2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18288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Консультация психолога по итогам коррекционно-развивающей работы</w:t>
                            </w:r>
                            <w:r/>
                          </w:p>
                        </w:txbxContent>
                      </wps:txbx>
                      <wps:bodyPr wrap="square"/>
                    </wps:wsp>
                  </a:graphicData>
                </a:graphic>
              </wp:anchor>
            </w:drawing>
          </mc:Choice>
          <mc:Fallback>
            <w:pict>
              <v:shape id="shape 0" o:spid="_x0000_s0" o:spt="1" style="position:absolute;mso-wrap-distance-left:9.0pt;mso-wrap-distance-top:0.0pt;mso-wrap-distance-right:9.0pt;mso-wrap-distance-bottom:0.0pt;z-index:251666432;o:allowoverlap:true;o:allowincell:true;mso-position-horizontal-relative:text;margin-left:261.0pt;mso-position-horizontal:absolute;mso-position-vertical-relative:text;margin-top:369.0pt;mso-position-vertical:absolute;width:144.0pt;height:63.0pt;" coordsize="100000,100000" path="" fillcolor="#FFFFFF" strokecolor="#000000">
                <v:path textboxrect="0,0,0,0"/>
                <v:textbox>
                  <w:txbxContent>
                    <w:p>
                      <w:pPr>
                        <w:jc w:val="center"/>
                      </w:pPr>
                      <w:r>
                        <w:t xml:space="preserve">Консультация психолога по итогам коррекционно-развивающей работы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3314700</wp:posOffset>
                </wp:positionH>
                <wp:positionV relativeFrom="paragraph">
                  <wp:posOffset>3657600</wp:posOffset>
                </wp:positionV>
                <wp:extent cx="1714500" cy="685800"/>
                <wp:effectExtent l="0" t="0" r="0" b="0"/>
                <wp:wrapNone/>
                <wp:docPr id="3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17145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Создание развивающей среды в классе</w:t>
                            </w:r>
                            <w:r/>
                          </w:p>
                        </w:txbxContent>
                      </wps:txbx>
                      <wps:bodyPr wrap="square"/>
                    </wps:wsp>
                  </a:graphicData>
                </a:graphic>
              </wp:anchor>
            </w:drawing>
          </mc:Choice>
          <mc:Fallback>
            <w:pict>
              <v:shape id="shape 1" o:spid="_x0000_s1" o:spt="1" style="position:absolute;mso-wrap-distance-left:9.0pt;mso-wrap-distance-top:0.0pt;mso-wrap-distance-right:9.0pt;mso-wrap-distance-bottom:0.0pt;z-index:251665408;o:allowoverlap:true;o:allowincell:true;mso-position-horizontal-relative:text;margin-left:261.0pt;mso-position-horizontal:absolute;mso-position-vertical-relative:text;margin-top:288.0pt;mso-position-vertical:absolute;width:135.0pt;height:54.0pt;" coordsize="100000,100000" path="" fillcolor="#FFFFFF" strokecolor="#000000">
                <v:path textboxrect="0,0,0,0"/>
                <v:textbox>
                  <w:txbxContent>
                    <w:p>
                      <w:pPr>
                        <w:jc w:val="center"/>
                      </w:pPr>
                      <w:r>
                        <w:t xml:space="preserve">Создание развивающей среды в классе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4686300</wp:posOffset>
                </wp:positionV>
                <wp:extent cx="2286000" cy="457200"/>
                <wp:effectExtent l="0" t="0" r="0" b="0"/>
                <wp:wrapNone/>
                <wp:docPr id="4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Итоговая психодиагностика</w:t>
                            </w:r>
                            <w:r/>
                          </w:p>
                        </w:txbxContent>
                      </wps:txbx>
                      <wps:bodyPr wrap="square"/>
                    </wps:wsp>
                  </a:graphicData>
                </a:graphic>
              </wp:anchor>
            </w:drawing>
          </mc:Choice>
          <mc:Fallback>
            <w:pict>
              <v:shape id="shape 2" o:spid="_x0000_s2" o:spt="1" style="position:absolute;mso-wrap-distance-left:9.0pt;mso-wrap-distance-top:0.0pt;mso-wrap-distance-right:9.0pt;mso-wrap-distance-bottom:0.0pt;z-index:251664384;o:allowoverlap:true;o:allowincell:true;mso-position-horizontal-relative:text;margin-left:9.0pt;mso-position-horizontal:absolute;mso-position-vertical-relative:text;margin-top:369.0pt;mso-position-vertical:absolute;width:180.0pt;height:36.0pt;" coordsize="100000,100000" path="" fillcolor="#FFFFFF" strokecolor="#000000">
                <v:path textboxrect="0,0,0,0"/>
                <v:textbox>
                  <w:txbxContent>
                    <w:p>
                      <w:pPr>
                        <w:jc w:val="center"/>
                      </w:pPr>
                      <w:r>
                        <w:t xml:space="preserve">Итоговая психодиагностика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4000500</wp:posOffset>
                </wp:positionV>
                <wp:extent cx="0" cy="685800"/>
                <wp:effectExtent l="0" t="0" r="0" b="0"/>
                <wp:wrapNone/>
                <wp:docPr id="5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3" o:spid="_x0000_s3" o:spt="20" style="position:absolute;mso-wrap-distance-left:9.0pt;mso-wrap-distance-top:0.0pt;mso-wrap-distance-right:9.0pt;mso-wrap-distance-bottom:0.0pt;z-index:251663360;o:allowoverlap:true;o:allowincell:true;mso-position-horizontal-relative:text;margin-left:72.0pt;mso-position-horizontal:absolute;mso-position-vertical-relative:text;margin-top:315.0pt;mso-position-vertical:absolute;width:0.0pt;height:54.0pt;" coordsize="100000,100000" path="" fillcolor="#FFFFFF" strokecolor="#000000">
                <v:path textboxrect="0,0,0,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114300</wp:posOffset>
                </wp:positionH>
                <wp:positionV relativeFrom="paragraph">
                  <wp:posOffset>3543300</wp:posOffset>
                </wp:positionV>
                <wp:extent cx="2286000" cy="457200"/>
                <wp:effectExtent l="0" t="0" r="0" b="0"/>
                <wp:wrapNone/>
                <wp:docPr id="6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Индивидуальная или групповая работа с учащимися</w:t>
                            </w:r>
                            <w:r/>
                          </w:p>
                        </w:txbxContent>
                      </wps:txbx>
                      <wps:bodyPr wrap="square"/>
                    </wps:wsp>
                  </a:graphicData>
                </a:graphic>
              </wp:anchor>
            </w:drawing>
          </mc:Choice>
          <mc:Fallback>
            <w:pict>
              <v:shape id="shape 4" o:spid="_x0000_s4" o:spt="1" style="position:absolute;mso-wrap-distance-left:9.0pt;mso-wrap-distance-top:0.0pt;mso-wrap-distance-right:9.0pt;mso-wrap-distance-bottom:0.0pt;z-index:251662336;o:allowoverlap:true;o:allowincell:true;mso-position-horizontal-relative:text;margin-left:9.0pt;mso-position-horizontal:absolute;mso-position-vertical-relative:text;margin-top:279.0pt;mso-position-vertical:absolute;width:180.0pt;height:36.0pt;" coordsize="100000,100000" path="" fillcolor="#FFFFFF" strokecolor="#000000">
                <v:path textboxrect="0,0,0,0"/>
                <v:textbox>
                  <w:txbxContent>
                    <w:p>
                      <w:pPr>
                        <w:jc w:val="center"/>
                      </w:pPr>
                      <w:r>
                        <w:t xml:space="preserve">Индивидуальная или групповая работа с учащимися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1257300</wp:posOffset>
                </wp:positionV>
                <wp:extent cx="2286000" cy="457200"/>
                <wp:effectExtent l="0" t="0" r="0" b="0"/>
                <wp:wrapNone/>
                <wp:docPr id="7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22860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Углубленная индивидуальная диагностика</w:t>
                            </w:r>
                            <w:r/>
                          </w:p>
                        </w:txbxContent>
                      </wps:txbx>
                      <wps:bodyPr wrap="square"/>
                    </wps:wsp>
                  </a:graphicData>
                </a:graphic>
              </wp:anchor>
            </w:drawing>
          </mc:Choice>
          <mc:Fallback>
            <w:pict>
              <v:shape id="shape 5" o:spid="_x0000_s5" o:spt="1" style="position:absolute;mso-wrap-distance-left:9.0pt;mso-wrap-distance-top:0.0pt;mso-wrap-distance-right:9.0pt;mso-wrap-distance-bottom:0.0pt;z-index:251661312;o:allowoverlap:true;o:allowincell:true;mso-position-horizontal-relative:text;margin-left:0.0pt;mso-position-horizontal:absolute;mso-position-vertical-relative:text;margin-top:99.0pt;mso-position-vertical:absolute;width:180.0pt;height:36.0pt;" coordsize="100000,100000" path="" fillcolor="#FFFFFF" strokecolor="#000000">
                <v:path textboxrect="0,0,0,0"/>
                <v:textbox>
                  <w:txbxContent>
                    <w:p>
                      <w:pPr>
                        <w:jc w:val="center"/>
                      </w:pPr>
                      <w:r>
                        <w:t xml:space="preserve">Углубленная индивидуальная диагностика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228600</wp:posOffset>
                </wp:positionV>
                <wp:extent cx="0" cy="1028700"/>
                <wp:effectExtent l="0" t="0" r="0" b="0"/>
                <wp:wrapNone/>
                <wp:docPr id="8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0" cy="1028700"/>
                        </a:xfrm>
                        <a:prstGeom prst="line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hape 6" o:spid="_x0000_s6" o:spt="20" style="position:absolute;mso-wrap-distance-left:9.0pt;mso-wrap-distance-top:0.0pt;mso-wrap-distance-right:9.0pt;mso-wrap-distance-bottom:0.0pt;z-index:251660288;o:allowoverlap:true;o:allowincell:true;mso-position-horizontal-relative:text;margin-left:72.0pt;mso-position-horizontal:absolute;mso-position-vertical-relative:text;margin-top:18.0pt;mso-position-vertical:absolute;width:0.0pt;height:81.0pt;" coordsize="100000,100000" path="" fillcolor="#FFFFFF" strokecolor="#000000">
                <v:path textboxrect="0,0,0,0"/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anchor xmlns:wp="http://schemas.openxmlformats.org/drawingml/2006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-114299</wp:posOffset>
                </wp:positionH>
                <wp:positionV relativeFrom="paragraph">
                  <wp:posOffset>-114299</wp:posOffset>
                </wp:positionV>
                <wp:extent cx="2057400" cy="342900"/>
                <wp:effectExtent l="0" t="0" r="0" b="0"/>
                <wp:wrapNone/>
                <wp:docPr id="9" name="" hidden="false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AdjustHandles="0" noChangeArrowheads="0"/>
                      </wps:cNvSpPr>
                      <wps:spPr bwMode="auto">
                        <a:xfrm>
                          <a:off x="0" y="0"/>
                          <a:ext cx="20574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jc w:val="center"/>
                            </w:pPr>
                            <w:r>
                              <w:t xml:space="preserve">Фронтальная диагностика</w:t>
                            </w:r>
                            <w:r/>
                          </w:p>
                        </w:txbxContent>
                      </wps:txbx>
                      <wps:bodyPr wrap="square"/>
                    </wps:wsp>
                  </a:graphicData>
                </a:graphic>
              </wp:anchor>
            </w:drawing>
          </mc:Choice>
          <mc:Fallback>
            <w:pict>
              <v:shape id="shape 7" o:spid="_x0000_s7" o:spt="1" style="position:absolute;mso-wrap-distance-left:9.0pt;mso-wrap-distance-top:0.0pt;mso-wrap-distance-right:9.0pt;mso-wrap-distance-bottom:0.0pt;z-index:251659264;o:allowoverlap:true;o:allowincell:true;mso-position-horizontal-relative:text;margin-left:-9.0pt;mso-position-horizontal:absolute;mso-position-vertical-relative:text;margin-top:-9.0pt;mso-position-vertical:absolute;width:162.0pt;height:27.0pt;" coordsize="100000,100000" path="" fillcolor="#FFFFFF" strokecolor="#000000">
                <v:path textboxrect="0,0,0,0"/>
                <v:textbox>
                  <w:txbxContent>
                    <w:p>
                      <w:pPr>
                        <w:jc w:val="center"/>
                      </w:pPr>
                      <w:r>
                        <w:t xml:space="preserve">Фронтальная диагностика</w:t>
                      </w:r>
                      <w:r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sz w:val="28"/>
          <w:szCs w:val="28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829300" cy="3543300"/>
                <wp:effectExtent l="0" t="0" r="0" b="0"/>
                <wp:docPr id="10" name="" hidden="false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5829300" cy="3543300"/>
                          <a:chOff x="0" y="0"/>
                          <a:chExt cx="58293" cy="35433"/>
                        </a:xfrm>
                      </wpg:grpSpPr>
                      <wps:wsp>
                        <wps:cNvSpPr/>
                        <wps:spPr bwMode="auto">
                          <a:xfrm>
                            <a:off x="9140" y="17142"/>
                            <a:ext cx="0" cy="8005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tailEnd type="triangle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SpPr>
                          <a:spLocks noAdjustHandles="0" noChangeArrowheads="0"/>
                        </wps:cNvSpPr>
                        <wps:spPr bwMode="auto">
                          <a:xfrm>
                            <a:off x="0" y="26287"/>
                            <a:ext cx="22863" cy="45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Консультация для родителей</w:t>
                              </w:r>
                              <w:r>
                                <w:t xml:space="preserve"> и педагога</w:t>
                              </w:r>
                              <w:r/>
                            </w:p>
                          </w:txbxContent>
                        </wps:txbx>
                        <wps:bodyPr wrap="square"/>
                      </wps:wsp>
                      <wps:wsp>
                        <wps:cNvSpPr/>
                        <wps:spPr bwMode="auto">
                          <a:xfrm>
                            <a:off x="9140" y="30863"/>
                            <a:ext cx="0" cy="4569"/>
                          </a:xfrm>
                          <a:prstGeom prst="line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  <a:tailEnd type="triangle"/>
                          </a:ln>
                        </wps:spPr>
                        <wps:bodyPr rot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SpPr>
                          <a:spLocks noAdjustHandles="0" noChangeArrowheads="0"/>
                        </wps:cNvSpPr>
                        <wps:spPr bwMode="auto">
                          <a:xfrm>
                            <a:off x="12573" y="4568"/>
                            <a:ext cx="15998" cy="45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  <w:rPr>
                                  <w:b/>
                                </w:rPr>
                              </w:pPr>
                              <w:r>
                                <w:rPr>
                                  <w:b/>
                                </w:rPr>
                                <w:t xml:space="preserve">Учащиеся «группы риска»</w:t>
                              </w:r>
                              <w:r/>
                            </w:p>
                          </w:txbxContent>
                        </wps:txbx>
                        <wps:bodyPr wrap="square"/>
                      </wps:wsp>
                      <wps:wsp>
                        <wps:cNvSpPr>
                          <a:spLocks noAdjustHandles="0" noChangeArrowheads="0"/>
                        </wps:cNvSpPr>
                        <wps:spPr bwMode="auto">
                          <a:xfrm>
                            <a:off x="34287" y="4568"/>
                            <a:ext cx="12574" cy="457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Консультации с психологом</w:t>
                              </w:r>
                              <w:r/>
                            </w:p>
                          </w:txbxContent>
                        </wps:txbx>
                        <wps:bodyPr wrap="square"/>
                      </wps:wsp>
                      <wps:wsp>
                        <wps:cNvSpPr>
                          <a:spLocks noAdjustHandles="0" noChangeArrowheads="0"/>
                        </wps:cNvSpPr>
                        <wps:spPr bwMode="auto">
                          <a:xfrm>
                            <a:off x="34287" y="12573"/>
                            <a:ext cx="13715" cy="4569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Наблюдения педагога (карта)</w:t>
                              </w:r>
                              <w:r/>
                            </w:p>
                          </w:txbxContent>
                        </wps:txbx>
                        <wps:bodyPr wrap="square"/>
                      </wps:wsp>
                      <wps:wsp>
                        <wps:cNvSpPr>
                          <a:spLocks noAdjustHandles="0" noChangeArrowheads="0"/>
                        </wps:cNvSpPr>
                        <wps:spPr bwMode="auto">
                          <a:xfrm>
                            <a:off x="34287" y="23999"/>
                            <a:ext cx="16006" cy="80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solidFill>
                              <a:srgbClr val="000000"/>
                            </a:solidFill>
                          </a:ln>
                        </wps:spPr>
                        <wps:txbx>
                          <w:txbxContent>
                            <w:p>
                              <w:pPr>
                                <w:jc w:val="center"/>
                              </w:pPr>
                              <w:r>
                                <w:t xml:space="preserve">Подбор упражнений и игр для групповой и индивидуальной работы</w:t>
                              </w:r>
                              <w:r/>
                            </w:p>
                          </w:txbxContent>
                        </wps:txbx>
                        <wps:bodyPr wrap="square"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" o:spid="_x0000_s0000" style="mso-wrap-distance-left:0.0pt;mso-wrap-distance-top:0.0pt;mso-wrap-distance-right:0.0pt;mso-wrap-distance-bottom:0.0pt;width:459.0pt;height:279.0pt;" coordorigin="0,0" coordsize="582,354">
                <v:shape id="shape 9" o:spid="_x0000_s9" o:spt="20" style="position:absolute;left:91;top:171;width:0;height:80;" coordsize="100000,100000" path="" fillcolor="#FFFFFF" strokecolor="#000000">
                  <v:path textboxrect="0,0,0,0"/>
                </v:shape>
                <v:shape id="shape 10" o:spid="_x0000_s10" o:spt="1" style="position:absolute;left:0;top:262;width:228;height:45;" coordsize="100000,100000" path="" fillcolor="#FFFFFF" strokecolor="#000000">
                  <v:path textboxrect="0,0,0,0"/>
                  <v:textbox>
                    <w:txbxContent>
                      <w:p>
                        <w:pPr>
                          <w:jc w:val="center"/>
                        </w:pPr>
                        <w:r>
                          <w:t xml:space="preserve">Консультация для родителей</w:t>
                        </w:r>
                        <w:r>
                          <w:t xml:space="preserve"> и педагога</w:t>
                        </w:r>
                        <w:r/>
                      </w:p>
                    </w:txbxContent>
                  </v:textbox>
                </v:shape>
                <v:shape id="shape 11" o:spid="_x0000_s11" o:spt="20" style="position:absolute;left:91;top:308;width:0;height:45;" coordsize="100000,100000" path="" fillcolor="#FFFFFF" strokecolor="#000000">
                  <v:path textboxrect="0,0,0,0"/>
                </v:shape>
                <v:shape id="shape 12" o:spid="_x0000_s12" o:spt="1" style="position:absolute;left:125;top:45;width:159;height:45;" coordsize="100000,100000" path="" fillcolor="#FFFFFF" strokecolor="#000000">
                  <v:path textboxrect="0,0,0,0"/>
                  <v:textbox>
                    <w:txbxContent>
                      <w:p>
                        <w:pPr>
                          <w:jc w:val="center"/>
                          <w:rPr>
                            <w:b/>
                          </w:rPr>
                        </w:pPr>
                        <w:r>
                          <w:rPr>
                            <w:b/>
                          </w:rPr>
                          <w:t xml:space="preserve">Учащиеся «группы риска»</w:t>
                        </w:r>
                        <w:r/>
                      </w:p>
                    </w:txbxContent>
                  </v:textbox>
                </v:shape>
                <v:shape id="shape 13" o:spid="_x0000_s13" o:spt="1" style="position:absolute;left:342;top:45;width:125;height:45;" coordsize="100000,100000" path="" fillcolor="#FFFFFF" strokecolor="#000000">
                  <v:path textboxrect="0,0,0,0"/>
                  <v:textbox>
                    <w:txbxContent>
                      <w:p>
                        <w:pPr>
                          <w:jc w:val="center"/>
                        </w:pPr>
                        <w:r>
                          <w:t xml:space="preserve">Консультации с психологом</w:t>
                        </w:r>
                        <w:r/>
                      </w:p>
                    </w:txbxContent>
                  </v:textbox>
                </v:shape>
                <v:shape id="shape 14" o:spid="_x0000_s14" o:spt="1" style="position:absolute;left:342;top:125;width:137;height:45;" coordsize="100000,100000" path="" fillcolor="#FFFFFF" strokecolor="#000000">
                  <v:path textboxrect="0,0,0,0"/>
                  <v:textbox>
                    <w:txbxContent>
                      <w:p>
                        <w:pPr>
                          <w:jc w:val="center"/>
                        </w:pPr>
                        <w:r>
                          <w:t xml:space="preserve">Наблюдения педагога (карта)</w:t>
                        </w:r>
                        <w:r/>
                      </w:p>
                    </w:txbxContent>
                  </v:textbox>
                </v:shape>
                <v:shape id="shape 15" o:spid="_x0000_s15" o:spt="1" style="position:absolute;left:342;top:239;width:160;height:80;" coordsize="100000,100000" path="" fillcolor="#FFFFFF" strokecolor="#000000">
                  <v:path textboxrect="0,0,0,0"/>
                  <v:textbox>
                    <w:txbxContent>
                      <w:p>
                        <w:pPr>
                          <w:jc w:val="center"/>
                        </w:pPr>
                        <w:r>
                          <w:t xml:space="preserve">Подбор упражнений и игр для групповой и индивидуальной работы</w:t>
                        </w:r>
                        <w:r/>
                      </w:p>
                    </w:txbxContent>
                  </v:textbox>
                </v:shape>
              </v:group>
            </w:pict>
          </mc:Fallback>
        </mc:AlternateContent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jc w:val="right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Приложение 3</w:t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Карта наблюдений</w:t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tbl>
      <w:tblPr>
        <w:tblW w:w="7128" w:type="dxa"/>
        <w:tblBorders>
          <w:left w:val="single" w:sz="4" w:space="0" w:color="auto"/>
          <w:top w:val="single" w:sz="4" w:space="0" w:color="auto"/>
          <w:right w:val="single" w:sz="4" w:space="0" w:color="auto"/>
          <w:bottom w:val="single" w:sz="4" w:space="0" w:color="auto"/>
          <w:insideV w:val="single" w:sz="4" w:space="0" w:color="auto"/>
          <w:insideH w:val="single" w:sz="4" w:space="0" w:color="auto"/>
        </w:tblBorders>
        <w:tblLook w:val="01E0" w:firstRow="1" w:lastRow="1" w:firstColumn="1" w:lastColumn="1" w:noHBand="0" w:noVBand="0"/>
      </w:tblPr>
      <w:tblGrid>
        <w:gridCol w:w="1705"/>
        <w:gridCol w:w="5423"/>
      </w:tblGrid>
      <w:tr>
        <w:trPr/>
        <w:tc>
          <w:tcPr>
            <w:tcW w:w="1692" w:type="dxa"/>
            <w:textDirection w:val="lrTb"/>
            <w:noWrap w:val="false"/>
          </w:tcPr>
          <w:p>
            <w:pPr>
              <w:jc w:val="center"/>
              <w:spacing w:lineRule="auto" w:line="24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Нарушения внимания</w:t>
            </w:r>
            <w:r/>
          </w:p>
        </w:tc>
        <w:tc>
          <w:tcPr>
            <w:tcW w:w="5436" w:type="dxa"/>
            <w:textDirection w:val="lrTb"/>
            <w:noWrap w:val="false"/>
          </w:tcPr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1.Ребенок не может сосредоточиться, делает много ошибок из-за невнимательности.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2.Ему трудно поддерживать внимание при выполнении заданий или во время игр.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3.Легко отвлекается на посторонние стимулы.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4.Не может до конца закончить поставленную задачу.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5.Слушает, но кажется, что не слышит.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6.Избегает выполнения задач, требующих постоянного внимания.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7.Плохо организован.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8.Часто теряет личные вещи, необходимые в школе и дома (карандаши, книги, рабочие инструменты, игрушки).</w:t>
            </w:r>
            <w:r/>
          </w:p>
          <w:p>
            <w:pPr>
              <w:spacing w:lineRule="auto" w:line="24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9.Забывчив.</w:t>
            </w:r>
            <w:r/>
          </w:p>
        </w:tc>
      </w:tr>
    </w:tbl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jc w:val="right"/>
        <w:spacing w:lineRule="auto" w:line="240" w:after="0" w:before="160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  <w:t xml:space="preserve">Приложение 4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«Найди отличие</w:t>
      </w:r>
      <w:r>
        <w:rPr>
          <w:rFonts w:ascii="Times New Roman" w:hAnsi="Times New Roman" w:cs="Times New Roman"/>
          <w:b/>
          <w:sz w:val="28"/>
          <w:szCs w:val="28"/>
        </w:rPr>
        <w:t xml:space="preserve">»</w:t>
      </w:r>
      <w:r>
        <w:rPr>
          <w:rFonts w:ascii="Times New Roman" w:hAnsi="Times New Roman" w:cs="Times New Roman"/>
          <w:sz w:val="28"/>
          <w:szCs w:val="28"/>
        </w:rPr>
        <w:t xml:space="preserve"> (Е. К. Лютова, Г. Б. Монина)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Развитие умения концентрировать внимание на деталях.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Ребенок рисует любую несложную картинку (котик, домики др.) и передает ее взрослому, а сам отворачивается.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Взрослый дорисовывает несколько деталей и возвращает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картинку. Ребенок должен заметить, что изменилось в рисунке.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Затем взрослый и ребенок могут поменяться ролями.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Игру можно проводить и с группой детей. В этом случае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дети по очереди рисуют на доске какой-либо рисунок и отворачиваются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(при этом возможность движения не ограничивается).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Взрослый дорисовывает несколько деталей. Дети,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взглянув на рисунок, должны сказать, какие изменения произошли.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«Король сказал</w:t>
      </w:r>
      <w:r>
        <w:rPr>
          <w:rFonts w:ascii="Times New Roman" w:hAnsi="Times New Roman" w:cs="Times New Roman"/>
          <w:b/>
          <w:sz w:val="28"/>
          <w:szCs w:val="28"/>
        </w:rPr>
        <w:t xml:space="preserve">...» 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 </w:t>
      </w:r>
      <w:r>
        <w:rPr>
          <w:rFonts w:ascii="Times New Roman" w:hAnsi="Times New Roman" w:cs="Times New Roman"/>
          <w:sz w:val="28"/>
          <w:szCs w:val="28"/>
        </w:rPr>
        <w:t xml:space="preserve">Переключение внимания с одного вида деятельности н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другой, преодоление двигательных автоматизмов.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Все участники игры вместе с ведущим становятся в круг.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Ведущий говорит, что он будет показывать разные движения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(физкультурные, танцевальные, шуточные), а играющие должны их повторять только в том случае, если он добавит слов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 xml:space="preserve">«Король сказал».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Кто ошибется, выходит на середину круга и выполняет какое-нибудь задание участников игры, например, улыбнуться, попрыгать на одной ноге и т. д.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Вместо слов «Король сказал» можно добавлять и другие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например, «Пожалуйста» или «Командир приказал».</w:t>
      </w:r>
      <w:r/>
    </w:p>
    <w:p>
      <w:pPr>
        <w:ind w:firstLine="720"/>
        <w:jc w:val="both"/>
        <w:spacing w:lineRule="auto" w:line="240"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ind w:firstLine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«Разные животные»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Цель. Развитие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способности к переключению внимания, координацию движения, слуховое восприятие. Пока вы готовите еду, пришиваете пуговицу,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протираете пыль, включите музыку, предложите ребенку произвольно двигаться, танцевать. Затем мама (папа) называет животных (в произвольном порядке, с разными интервалами), а ребенок продолжает двигаться в том же темпе, только изображая названное животное.</w:t>
      </w:r>
      <w:r/>
    </w:p>
    <w:p>
      <w:pPr>
        <w:ind w:firstLine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«Четыре стихии» 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Цель.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азвивает способности к переключению внимания, координацию движения, слуховое восприятие. В этой игре важно самим родителям быть внимательными и помнить, что должен сделать ребенок по определенной команде.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1 вариант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 команде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одителей ребенок выполняет движения, о которых договариваются в начале игры. Например, на команду «Земля!» - ребенок должен опустить руки вниз, на команду «Воздух!» - поднять руки вверх, на команду «Вода!» - вытянуть руки и сделать волнообразные движения,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 команду «Огонь!» - вращать руки в локтевых и лучезапястных суставах. Какие движения будет надо выполнять на определенные команды договоритесь с ребенком, пусть он примет участие в создании игры. Затем, перечисляя в произвольном порядке 4 сти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хии (земля,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вода,  огонь,  воздух, вода, воздух, земля, ….. ) выделить интонацией одну из стихий («Вода!») Ребенок, услышав название стихии должен выполнить движения, соответствующие этой команде.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2 вариант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.</w:t>
      </w:r>
      <w:r>
        <w:rPr>
          <w:rFonts w:ascii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Взрослый перечисляет в произвольном порядке 4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стихии (земля,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вода,  огонь,  воздух, вода, воздух, земля, ….. ) Затем выделяя интонацией выбирается одна из стихий («Вода!») Ребенок, услышав название стихии, выбирает одного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 ее обитателей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(«Земля!» - ребенок называет какое-либо животные, «Вода!» - рыбу, «Воздух!» - птицу). Если взрослый называет «Огонь!» - ребенок должен в ответ несколько раз повернуться, помахивая руками.</w:t>
      </w:r>
      <w:r/>
    </w:p>
    <w:p>
      <w:pPr>
        <w:ind w:firstLine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«Изобрази животное»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.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Задача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изобразить животное, чтобы был передан его 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арактер. Например, хитрый лис, страшный тигр, трусливый заяц, глупый волк, бедный козлик, хвастливый петух, веселый лягушонок. Можно предложить в этом образе подойти к другому члену семьи (бабушке, дедушке, …) и постараться, чтобы он узнал созданный образ.</w:t>
      </w:r>
      <w:r/>
    </w:p>
    <w:p>
      <w:pPr>
        <w:ind w:firstLine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«Разные слова» 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 помощью игры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развиваем способность к переключению внимания и слуховое восприятие.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Мама (папа) называет ряд слов (стол, чашка, воробей, береза, карандаш, лиса, роза, вилка, утюг, корова, спичка, сосна, лампа, гусь). 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1 вариант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ребенок должен хлопнуть в ладоши, если услышит название животного.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2 вариант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ребенок должен встать со стула, если услышит название растения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3 вариант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– объединяем 2 первых варианта (животное – хлопок, растение – встать)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.</w:t>
      </w:r>
      <w:r/>
    </w:p>
    <w:p>
      <w:pPr>
        <w:ind w:firstLine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«Построй в темноте» 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азвивает концентрацию и устойчивость внимания.</w:t>
      </w:r>
      <w:r/>
    </w:p>
    <w:p>
      <w:pPr>
        <w:ind w:firstLine="72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Задача игры, с завязанными глазами построить башню с основание в 1 кубик (1 спичечный коробок).  Чем больше кубиков задействовано, тем больше очков заработано. Можно меняться местами с ребенком, играть на время, т.е. придумать новые варианты игры.</w:t>
      </w:r>
      <w:r/>
    </w:p>
    <w:p>
      <w:pPr>
        <w:ind w:firstLine="720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Игра «Кто лучше нарисует»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Цель.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азвивает концентрацию, устойчивость внимание и тактильное восприятие.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1 вариант</w:t>
      </w:r>
      <w:r>
        <w:rPr>
          <w:rFonts w:ascii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Задача: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нарисовать, с завязанными глазами, на листе бумаги домик с двумя окнами, дверью, забором, трубой и двумя деревьями, с обеих сторон дома.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Последовательность: Нарисуй трубу, окно слева, дверь, дерево справа, крышу, …….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 открой глаза и посмотри, что получилось.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Cs/>
          <w:i/>
          <w:iCs/>
          <w:sz w:val="28"/>
          <w:szCs w:val="28"/>
          <w:u w:val="single"/>
          <w:lang w:eastAsia="ru-RU"/>
        </w:rPr>
        <w:t xml:space="preserve">2 вариант</w:t>
      </w:r>
      <w:r>
        <w:rPr>
          <w:rFonts w:ascii="Times New Roman" w:hAnsi="Times New Roman" w:cs="Times New Roman"/>
          <w:bCs/>
          <w:i/>
          <w:i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Задача: 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нарисовать, с завязанными глазами, голову человека.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Последовательность: рот, волосы, левый глаз,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подбородок, правое ухо, нос, ….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теперь открой глаза и посмотри, что получилось. Получается, как правило, весело.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«Выкладывание из палочек»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Развитие произвольного внимания и мелкой моторики руки</w:t>
      </w:r>
      <w:r/>
    </w:p>
    <w:p>
      <w:pPr>
        <w:ind w:firstLine="720"/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Ребенку предлагают по образцу выложить узор или силуэт из палочек. (Уровень сложности от узоров в одну строчку, простых силуэтов из 6-12 палочек до сложных силуэтов с большим количеством деталей 10-14 палочек)</w:t>
      </w:r>
      <w:r/>
    </w:p>
    <w:p>
      <w:pPr>
        <w:ind w:firstLine="720"/>
        <w:jc w:val="center"/>
        <w:spacing w:lineRule="auto" w:line="240" w:after="0" w:before="16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p>
      <w:pPr>
        <w:ind w:firstLine="720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«Выкладывание узора из мозаики»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Развитие</w:t>
      </w:r>
      <w:r>
        <w:rPr>
          <w:rFonts w:ascii="Times New Roman" w:hAnsi="Times New Roman" w:cs="Times New Roman"/>
          <w:sz w:val="28"/>
          <w:szCs w:val="28"/>
        </w:rPr>
        <w:t xml:space="preserve"> концентрации и объема </w:t>
      </w:r>
      <w:r>
        <w:rPr>
          <w:rFonts w:ascii="Times New Roman" w:hAnsi="Times New Roman" w:cs="Times New Roman"/>
          <w:sz w:val="28"/>
          <w:szCs w:val="28"/>
        </w:rPr>
        <w:t xml:space="preserve">внимания и мелкой моторики руки</w:t>
      </w:r>
      <w:r>
        <w:rPr>
          <w:rFonts w:ascii="Times New Roman" w:hAnsi="Times New Roman" w:cs="Times New Roman"/>
          <w:sz w:val="28"/>
          <w:szCs w:val="28"/>
        </w:rPr>
        <w:t xml:space="preserve">, формирование умения работать по образцу.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Ребенку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предлагают по образцу выложить </w:t>
      </w:r>
      <w:r>
        <w:rPr>
          <w:rFonts w:ascii="Times New Roman" w:hAnsi="Times New Roman" w:cs="Times New Roman" w:eastAsia="Times New Roman"/>
          <w:sz w:val="28"/>
          <w:szCs w:val="28"/>
          <w:lang w:eastAsia="ru-RU"/>
        </w:rPr>
        <w:t xml:space="preserve">из мозаики: цифру, букву, простой узор и силуэт.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Упражнение «Корректор»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Развитие концентрации внимания и самоконтроля.</w:t>
      </w:r>
      <w:r/>
    </w:p>
    <w:p>
      <w:pPr>
        <w:ind w:firstLine="720"/>
        <w:spacing w:lineRule="auto" w:line="240"/>
        <w:rPr>
          <w:rFonts w:ascii="Times New Roman" w:hAnsi="Times New Roman" w:cs="Times New Roman" w:eastAsia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В течение 5 минут ребенок, просматривая каждую строчку текста, должен как можно скорее зачеркивать разными способами три буквы. Например, а- поперечной чертой, б – вертикальной, в – крестиком.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«Испорченный телефон»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Развитие слухового внимания.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сидят в ряд или по кругу. Ведущий произносит тихо (на ухо) рядом сидящему игроку какое-либо слово, тот передает его следующему и т.д. </w:t>
      </w:r>
      <w:r>
        <w:rPr>
          <w:rFonts w:ascii="Times New Roman" w:hAnsi="Times New Roman" w:cs="Times New Roman"/>
          <w:sz w:val="28"/>
          <w:szCs w:val="28"/>
        </w:rPr>
        <w:t xml:space="preserve">Последний игрок говорит вслух слово, которое услышал. Определяем, испорчен телефон или нет.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«Кто летает?»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 Формирование внимания, развитие умения выделять главные, существенные признаки предметов.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Сейчас мы выясним, кто (</w:t>
      </w:r>
      <w:r>
        <w:rPr>
          <w:rFonts w:ascii="Times New Roman" w:hAnsi="Times New Roman" w:cs="Times New Roman"/>
          <w:sz w:val="28"/>
          <w:szCs w:val="28"/>
        </w:rPr>
        <w:t xml:space="preserve">что) может летать, а кто (что) </w:t>
      </w:r>
      <w:r>
        <w:rPr>
          <w:rFonts w:ascii="Times New Roman" w:hAnsi="Times New Roman" w:cs="Times New Roman"/>
          <w:sz w:val="28"/>
          <w:szCs w:val="28"/>
        </w:rPr>
        <w:t xml:space="preserve">не может. Если я назову что-нибудь или кого-либо, способного летать, например, стрекозу, отвечай: «Летает» - и показывайте, как она это делает. Если я спрошу: «Поросёнок летает?», молчи и не поднимай руки.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«Съедобное – несъедобное»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Цель.</w:t>
      </w:r>
      <w:r>
        <w:rPr>
          <w:rFonts w:ascii="Times New Roman" w:hAnsi="Times New Roman" w:cs="Times New Roman"/>
          <w:sz w:val="28"/>
          <w:szCs w:val="28"/>
        </w:rPr>
        <w:t xml:space="preserve"> Формирование внимания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зависимости от назва</w:t>
      </w:r>
      <w:r>
        <w:rPr>
          <w:rFonts w:ascii="Times New Roman" w:hAnsi="Times New Roman" w:cs="Times New Roman"/>
          <w:sz w:val="28"/>
          <w:szCs w:val="28"/>
        </w:rPr>
        <w:t xml:space="preserve">нного предмета (съедобен он или нет) ребенок должен ловить или отбивать мяч, брошенный ему взрослым. При правильном ответе ребенок продвигается на клетку вперед (мелом начерчены классы – 5-6). Тот, кто первый приходит в последний класс, становится ведущим.</w:t>
      </w:r>
      <w:r/>
    </w:p>
    <w:p>
      <w:pPr>
        <w:ind w:firstLine="720"/>
        <w:spacing w:lineRule="auto" w:line="2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Дидактические </w:t>
      </w:r>
      <w:r>
        <w:rPr>
          <w:rFonts w:ascii="Times New Roman" w:hAnsi="Times New Roman" w:cs="Times New Roman"/>
          <w:b/>
          <w:sz w:val="28"/>
          <w:szCs w:val="28"/>
        </w:rPr>
        <w:t xml:space="preserve">игры: </w:t>
      </w:r>
      <w:r>
        <w:rPr>
          <w:rFonts w:ascii="Times New Roman" w:hAnsi="Times New Roman" w:cs="Times New Roman"/>
          <w:sz w:val="28"/>
          <w:szCs w:val="28"/>
        </w:rPr>
        <w:t xml:space="preserve">«Лото», «Домино», «Квартет», «Мозаика», «Танграмм». </w:t>
      </w:r>
      <w:r/>
    </w:p>
    <w:p>
      <w:pPr>
        <w:spacing w:lineRule="auto" w:line="240"/>
        <w:rPr>
          <w:rFonts w:ascii="Times New Roman" w:hAnsi="Times New Roman" w:cs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cs="Times New Roman" w:eastAsia="Times New Roman"/>
          <w:sz w:val="28"/>
          <w:szCs w:val="28"/>
          <w:lang w:eastAsia="ru-RU"/>
        </w:rPr>
      </w:r>
      <w:r/>
    </w:p>
    <w:sectPr>
      <w:footnotePr/>
      <w:endnotePr/>
      <w:type w:val="nextPage"/>
      <w:pgSz w:w="11906" w:h="16838" w:orient="portrait"/>
      <w:pgMar w:top="1134" w:right="1134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/>
      <w:r>
        <w:separator/>
      </w:r>
      <w:r/>
    </w:p>
  </w:endnote>
  <w:endnote w:type="continuationSeparator" w:id="0">
    <w:p>
      <w:pPr>
        <w:spacing w:lineRule="auto" w:line="240" w:after="0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/>
      <w:r>
        <w:separator/>
      </w:r>
      <w:r/>
    </w:p>
  </w:footnote>
  <w:footnote w:type="continuationSeparator" w:id="0">
    <w:p>
      <w:pPr>
        <w:spacing w:lineRule="auto" w:line="240" w:after="0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ascii="Symbol" w:hAnsi="Symbol" w:hint="default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ascii="Symbol" w:hAnsi="Symbol" w:hint="default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 w:hint="default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ascii="Symbol" w:hAnsi="Symbol" w:hint="default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ascii="Symbol" w:hAnsi="Symbol" w:hint="default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 w:hint="default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ascii="Symbol" w:hAnsi="Symbol" w:hint="default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ascii="Symbol" w:hAnsi="Symbol" w:hint="default"/>
        <w:sz w:val="20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ascii="Symbol" w:hAnsi="Symbol" w:hint="default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hint="default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 w:hint="default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ascii="Wingdings" w:hAnsi="Wingdings" w:hint="default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ascii="Wingdings" w:hAnsi="Wingdings" w:hint="default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 w:hint="default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ascii="Wingdings" w:hAnsi="Wingdings" w:hint="default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ascii="Wingdings" w:hAnsi="Wingdings" w:hint="default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 w:hint="default"/>
        <w:sz w:val="20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ascii="Symbol" w:hAnsi="Symbol" w:hint="default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ascii="Symbol" w:hAnsi="Symbol" w:hint="default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>
    <m:brkBin m:val="before"/>
    <m:defJc m:val="centerGroup"/>
    <m:intLim m:val="subSup"/>
    <m:lMargin m:val="0"/>
    <m:mathFont m:val="Cambria Math"/>
    <m:naryLim m:val="undOvr"/>
    <m:rMargin m:val="0"/>
    <m:smallFrac m:val="on"/>
    <m:wrapIndent m:val="1440"/>
  </m:mathPr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decimalSymbol w:val=","/>
  <w:listSeparator w:val=";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/>
        <w:sz w:val="22"/>
        <w:szCs w:val="22"/>
        <w:lang w:val="ru-RU" w:bidi="ar-SA" w:eastAsia="en-US"/>
      </w:rPr>
    </w:rPrDefault>
    <w:pPrDefault>
      <w:pPr>
        <w:spacing w:lineRule="auto" w:line="259" w:after="160" w:afterAutospacing="0" w:before="0" w:beforeAutospacing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1">
    <w:name w:val="Heading 1"/>
    <w:basedOn w:val="422"/>
    <w:next w:val="422"/>
    <w:link w:val="12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12">
    <w:name w:val="Heading 1 Char"/>
    <w:basedOn w:val="423"/>
    <w:link w:val="11"/>
    <w:uiPriority w:val="9"/>
    <w:rPr>
      <w:rFonts w:ascii="Arial" w:hAnsi="Arial" w:cs="Arial" w:eastAsia="Arial"/>
      <w:sz w:val="40"/>
      <w:szCs w:val="40"/>
    </w:rPr>
  </w:style>
  <w:style w:type="paragraph" w:styleId="13">
    <w:name w:val="Heading 2"/>
    <w:basedOn w:val="422"/>
    <w:next w:val="422"/>
    <w:link w:val="14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14">
    <w:name w:val="Heading 2 Char"/>
    <w:basedOn w:val="423"/>
    <w:link w:val="13"/>
    <w:uiPriority w:val="9"/>
    <w:rPr>
      <w:rFonts w:ascii="Arial" w:hAnsi="Arial" w:cs="Arial" w:eastAsia="Arial"/>
      <w:sz w:val="34"/>
    </w:rPr>
  </w:style>
  <w:style w:type="paragraph" w:styleId="15">
    <w:name w:val="Heading 3"/>
    <w:basedOn w:val="422"/>
    <w:next w:val="422"/>
    <w:link w:val="16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16">
    <w:name w:val="Heading 3 Char"/>
    <w:basedOn w:val="423"/>
    <w:link w:val="15"/>
    <w:uiPriority w:val="9"/>
    <w:rPr>
      <w:rFonts w:ascii="Arial" w:hAnsi="Arial" w:cs="Arial" w:eastAsia="Arial"/>
      <w:sz w:val="30"/>
      <w:szCs w:val="30"/>
    </w:rPr>
  </w:style>
  <w:style w:type="paragraph" w:styleId="17">
    <w:name w:val="Heading 4"/>
    <w:basedOn w:val="422"/>
    <w:next w:val="422"/>
    <w:link w:val="18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18">
    <w:name w:val="Heading 4 Char"/>
    <w:basedOn w:val="423"/>
    <w:link w:val="17"/>
    <w:uiPriority w:val="9"/>
    <w:rPr>
      <w:rFonts w:ascii="Arial" w:hAnsi="Arial" w:cs="Arial" w:eastAsia="Arial"/>
      <w:b/>
      <w:bCs/>
      <w:sz w:val="26"/>
      <w:szCs w:val="26"/>
    </w:rPr>
  </w:style>
  <w:style w:type="paragraph" w:styleId="19">
    <w:name w:val="Heading 5"/>
    <w:basedOn w:val="422"/>
    <w:next w:val="422"/>
    <w:link w:val="20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20">
    <w:name w:val="Heading 5 Char"/>
    <w:basedOn w:val="423"/>
    <w:link w:val="19"/>
    <w:uiPriority w:val="9"/>
    <w:rPr>
      <w:rFonts w:ascii="Arial" w:hAnsi="Arial" w:cs="Arial" w:eastAsia="Arial"/>
      <w:b/>
      <w:bCs/>
      <w:sz w:val="24"/>
      <w:szCs w:val="24"/>
    </w:rPr>
  </w:style>
  <w:style w:type="paragraph" w:styleId="21">
    <w:name w:val="Heading 6"/>
    <w:basedOn w:val="422"/>
    <w:next w:val="422"/>
    <w:link w:val="22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22">
    <w:name w:val="Heading 6 Char"/>
    <w:basedOn w:val="423"/>
    <w:link w:val="21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422"/>
    <w:next w:val="422"/>
    <w:link w:val="24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24">
    <w:name w:val="Heading 7 Char"/>
    <w:basedOn w:val="423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422"/>
    <w:next w:val="422"/>
    <w:link w:val="26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26">
    <w:name w:val="Heading 8 Char"/>
    <w:basedOn w:val="423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422"/>
    <w:next w:val="422"/>
    <w:link w:val="28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28">
    <w:name w:val="Heading 9 Char"/>
    <w:basedOn w:val="423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31">
    <w:name w:val="No Spacing"/>
    <w:qFormat/>
    <w:uiPriority w:val="1"/>
    <w:pPr>
      <w:spacing w:lineRule="auto" w:line="240" w:after="0" w:before="0"/>
    </w:pPr>
  </w:style>
  <w:style w:type="paragraph" w:styleId="32">
    <w:name w:val="Title"/>
    <w:basedOn w:val="422"/>
    <w:next w:val="422"/>
    <w:link w:val="33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33">
    <w:name w:val="Title Char"/>
    <w:basedOn w:val="423"/>
    <w:link w:val="32"/>
    <w:uiPriority w:val="10"/>
    <w:rPr>
      <w:sz w:val="48"/>
      <w:szCs w:val="48"/>
    </w:rPr>
  </w:style>
  <w:style w:type="paragraph" w:styleId="34">
    <w:name w:val="Subtitle"/>
    <w:basedOn w:val="422"/>
    <w:next w:val="422"/>
    <w:link w:val="35"/>
    <w:qFormat/>
    <w:uiPriority w:val="11"/>
    <w:rPr>
      <w:sz w:val="24"/>
      <w:szCs w:val="24"/>
    </w:rPr>
    <w:pPr>
      <w:spacing w:after="200" w:before="200"/>
    </w:pPr>
  </w:style>
  <w:style w:type="character" w:styleId="35">
    <w:name w:val="Subtitle Char"/>
    <w:basedOn w:val="423"/>
    <w:link w:val="34"/>
    <w:uiPriority w:val="11"/>
    <w:rPr>
      <w:sz w:val="24"/>
      <w:szCs w:val="24"/>
    </w:rPr>
  </w:style>
  <w:style w:type="paragraph" w:styleId="36">
    <w:name w:val="Quote"/>
    <w:basedOn w:val="422"/>
    <w:next w:val="422"/>
    <w:link w:val="37"/>
    <w:qFormat/>
    <w:uiPriority w:val="29"/>
    <w:rPr>
      <w:i/>
    </w:rPr>
    <w:pPr>
      <w:ind w:left="720" w:right="720"/>
    </w:p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422"/>
    <w:next w:val="422"/>
    <w:link w:val="39"/>
    <w:qFormat/>
    <w:uiPriority w:val="30"/>
    <w:rPr>
      <w:i/>
    </w:rPr>
    <w:pPr>
      <w:contextualSpacing w:val="false"/>
      <w:ind w:left="720" w:right="720"/>
      <w:shd w:val="clear" w:fill="F2F2F2" w:color="F2F2F2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422"/>
    <w:link w:val="41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423"/>
    <w:link w:val="40"/>
    <w:uiPriority w:val="99"/>
  </w:style>
  <w:style w:type="paragraph" w:styleId="42">
    <w:name w:val="Footer"/>
    <w:basedOn w:val="422"/>
    <w:link w:val="45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423"/>
    <w:link w:val="42"/>
    <w:uiPriority w:val="99"/>
  </w:style>
  <w:style w:type="paragraph" w:styleId="44">
    <w:name w:val="Caption"/>
    <w:basedOn w:val="422"/>
    <w:next w:val="422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45">
    <w:name w:val="Caption Char"/>
    <w:basedOn w:val="44"/>
    <w:link w:val="42"/>
    <w:uiPriority w:val="99"/>
  </w:style>
  <w:style w:type="table" w:styleId="47">
    <w:name w:val="Table Grid Light"/>
    <w:basedOn w:val="4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424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424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fill="FFFFFF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fill="FFFFFF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fill="FFFFFF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fill="FFFFFF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53">
    <w:name w:val="Grid Table 1 Light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61">
    <w:name w:val="Grid Table 2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62">
    <w:name w:val="Grid Table 2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63">
    <w:name w:val="Grid Table 2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64">
    <w:name w:val="Grid Table 2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65">
    <w:name w:val="Grid Table 2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66">
    <w:name w:val="Grid Table 2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67">
    <w:name w:val="Grid Table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8">
    <w:name w:val="Grid Table 3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69">
    <w:name w:val="Grid Table 3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0">
    <w:name w:val="Grid Table 3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">
    <w:name w:val="Grid Table 3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">
    <w:name w:val="Grid Table 3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3">
    <w:name w:val="Grid Table 3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fill="FFFFFF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4">
    <w:name w:val="Grid Table 4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5">
    <w:name w:val="Grid Table 4 - Accent 1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 w:themeFill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6">
    <w:name w:val="Grid Table 4 - Accent 2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7">
    <w:name w:val="Grid Table 4 - Accent 3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8">
    <w:name w:val="Grid Table 4 - Accent 4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9">
    <w:name w:val="Grid Table 4 - Accent 5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80">
    <w:name w:val="Grid Table 4 - Accent 6"/>
    <w:basedOn w:val="42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81">
    <w:name w:val="Grid Table 5 Dark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text1" w:themeFillTint="40"/>
    </w:tblPr>
    <w:tblStylePr w:type="band1Horz">
      <w:tcPr>
        <w:shd w:val="clear" w:fill="FFFFFF" w:color="FFFFFF" w:themeFill="text1" w:themeFillTint="75"/>
      </w:tcPr>
    </w:tblStylePr>
    <w:tblStylePr w:type="band1Vert">
      <w:tcPr>
        <w:shd w:val="clear" w:fill="FFFFFF" w:color="FFFFFF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text1"/>
        <w:tcBorders>
          <w:top w:val="single" w:color="000000" w:sz="4" w:space="0" w:themeColor="light1"/>
        </w:tcBorders>
      </w:tcPr>
    </w:tblStylePr>
  </w:style>
  <w:style w:type="table" w:styleId="82">
    <w:name w:val="Grid Table 5 Dark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1" w:themeFillTint="34"/>
    </w:tblPr>
    <w:tblStylePr w:type="band1Horz">
      <w:tcPr>
        <w:shd w:val="clear" w:fill="FFFFFF" w:color="FFFFFF" w:themeFill="accent1" w:themeFillTint="75"/>
      </w:tcPr>
    </w:tblStylePr>
    <w:tblStylePr w:type="band1Vert">
      <w:tcPr>
        <w:shd w:val="clear" w:fill="FFFFFF" w:color="FFFFFF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1"/>
        <w:tcBorders>
          <w:top w:val="single" w:color="000000" w:sz="4" w:space="0" w:themeColor="light1"/>
        </w:tcBorders>
      </w:tcPr>
    </w:tblStylePr>
  </w:style>
  <w:style w:type="table" w:styleId="83">
    <w:name w:val="Grid Table 5 Dark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2" w:themeFillTint="32"/>
    </w:tblPr>
    <w:tblStylePr w:type="band1Horz">
      <w:tcPr>
        <w:shd w:val="clear" w:fill="FFFFFF" w:color="FFFFFF" w:themeFill="accent2" w:themeFillTint="75"/>
      </w:tcPr>
    </w:tblStylePr>
    <w:tblStylePr w:type="band1Vert">
      <w:tcPr>
        <w:shd w:val="clear" w:fill="FFFFFF" w:color="FFFFFF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2"/>
        <w:tcBorders>
          <w:top w:val="single" w:color="000000" w:sz="4" w:space="0" w:themeColor="light1"/>
        </w:tcBorders>
      </w:tcPr>
    </w:tblStylePr>
  </w:style>
  <w:style w:type="table" w:styleId="84">
    <w:name w:val="Grid Table 5 Dark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3" w:themeFillTint="34"/>
    </w:tblPr>
    <w:tblStylePr w:type="band1Horz">
      <w:tcPr>
        <w:shd w:val="clear" w:fill="FFFFFF" w:color="FFFFFF" w:themeFill="accent3" w:themeFillTint="75"/>
      </w:tcPr>
    </w:tblStylePr>
    <w:tblStylePr w:type="band1Vert">
      <w:tcPr>
        <w:shd w:val="clear" w:fill="FFFFFF" w:color="FFFFFF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3"/>
        <w:tcBorders>
          <w:top w:val="single" w:color="000000" w:sz="4" w:space="0" w:themeColor="light1"/>
        </w:tcBorders>
      </w:tcPr>
    </w:tblStylePr>
  </w:style>
  <w:style w:type="table" w:styleId="85">
    <w:name w:val="Grid Table 5 Dark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4" w:themeFillTint="34"/>
    </w:tblPr>
    <w:tblStylePr w:type="band1Horz">
      <w:tcPr>
        <w:shd w:val="clear" w:fill="FFFFFF" w:color="FFFFFF" w:themeFill="accent4" w:themeFillTint="75"/>
      </w:tcPr>
    </w:tblStylePr>
    <w:tblStylePr w:type="band1Vert">
      <w:tcPr>
        <w:shd w:val="clear" w:fill="FFFFFF" w:color="FFFFFF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4"/>
        <w:tcBorders>
          <w:top w:val="single" w:color="000000" w:sz="4" w:space="0" w:themeColor="light1"/>
        </w:tcBorders>
      </w:tcPr>
    </w:tblStylePr>
  </w:style>
  <w:style w:type="table" w:styleId="86">
    <w:name w:val="Grid Table 5 Dark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5" w:themeFillTint="34"/>
    </w:tblPr>
    <w:tblStylePr w:type="band1Horz">
      <w:tcPr>
        <w:shd w:val="clear" w:fill="FFFFFF" w:color="FFFFFF" w:themeFill="accent5" w:themeFillTint="75"/>
      </w:tcPr>
    </w:tblStylePr>
    <w:tblStylePr w:type="band1Vert">
      <w:tcPr>
        <w:shd w:val="clear" w:fill="FFFFFF" w:color="FFFFFF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5"/>
        <w:tcBorders>
          <w:top w:val="single" w:color="000000" w:sz="4" w:space="0" w:themeColor="light1"/>
        </w:tcBorders>
      </w:tcPr>
    </w:tblStylePr>
  </w:style>
  <w:style w:type="table" w:styleId="87">
    <w:name w:val="Grid Table 5 Dark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fill="FFFFFF" w:color="FFFFFF" w:themeFill="accent6" w:themeFillTint="34"/>
    </w:tblPr>
    <w:tblStylePr w:type="band1Horz">
      <w:tcPr>
        <w:shd w:val="clear" w:fill="FFFFFF" w:color="FFFFFF" w:themeFill="accent6" w:themeFillTint="75"/>
      </w:tcPr>
    </w:tblStylePr>
    <w:tblStylePr w:type="band1Vert">
      <w:tcPr>
        <w:shd w:val="clear" w:fill="FFFFFF" w:color="FFFFFF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fill="FFFFFF" w:color="FFFFFF" w:themeFill="accent6"/>
        <w:tcBorders>
          <w:top w:val="single" w:color="000000" w:sz="4" w:space="0" w:themeColor="light1"/>
        </w:tcBorders>
      </w:tcPr>
    </w:tblStylePr>
  </w:style>
  <w:style w:type="table" w:styleId="88">
    <w:name w:val="Grid Table 6 Colorful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fill="FFFFFF" w:color="FFFFFF" w:themeFill="text1" w:themeFillTint="34"/>
      </w:tcPr>
    </w:tblStylePr>
    <w:tblStylePr w:type="band1Vert">
      <w:tcPr>
        <w:shd w:val="clear" w:fill="FFFFFF" w:color="FFFFFF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664A9" w:themeColor="accent1" w:themeTint="80" w:themeShade="95"/>
      </w:rPr>
    </w:tblStylePr>
    <w:tblStylePr w:type="firstRow">
      <w:rPr>
        <w:b/>
        <w:color w:val="3664A9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664A9" w:themeColor="accent1" w:themeTint="80" w:themeShade="95"/>
      </w:rPr>
    </w:tblStylePr>
    <w:tblStylePr w:type="lastRow">
      <w:rPr>
        <w:b/>
        <w:color w:val="3664A9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45D8D" w:themeColor="accent5" w:themeShade="95"/>
      </w:rPr>
    </w:tblStylePr>
    <w:tblStylePr w:type="firstRow">
      <w:rPr>
        <w:b/>
        <w:color w:val="245D8D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45D8D" w:themeColor="accent5" w:themeShade="95"/>
      </w:rPr>
    </w:tblStylePr>
    <w:tblStylePr w:type="lastRow">
      <w:rPr>
        <w:b/>
        <w:color w:val="245D8D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0D"/>
      </w:tcPr>
    </w:tblStylePr>
    <w:tblStylePr w:type="band1Vert">
      <w:tcPr>
        <w:shd w:val="clear" w:fill="FFFFFF" w:color="FFFFFF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</w:style>
  <w:style w:type="table" w:styleId="96">
    <w:name w:val="Grid Table 7 Colorful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664A9" w:themeColor="accent1" w:themeTint="80" w:themeShade="95"/>
        <w:sz w:val="22"/>
      </w:rPr>
      <w:tcPr>
        <w:shd w:val="clear" w:fill="FFFFFF" w:color="FFFFFF" w:themeFill="accent1" w:themeFillTint="34"/>
      </w:tcPr>
    </w:tblStylePr>
    <w:tblStylePr w:type="band1Vert">
      <w:tcPr>
        <w:shd w:val="clear" w:fill="FFFFFF" w:color="FFFFFF" w:themeFill="accent1" w:themeFillTint="34"/>
      </w:tcPr>
    </w:tblStylePr>
    <w:tblStylePr w:type="band2Horz">
      <w:rPr>
        <w:rFonts w:ascii="Arial" w:hAnsi="Arial"/>
        <w:color w:val="3664A9" w:themeColor="accent1" w:themeTint="80" w:themeShade="95"/>
        <w:sz w:val="22"/>
      </w:rPr>
    </w:tblStylePr>
    <w:tblStylePr w:type="firstCol">
      <w:rPr>
        <w:rFonts w:ascii="Arial" w:hAnsi="Arial"/>
        <w:i/>
        <w:color w:val="3664A9" w:themeColor="accen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 w:themeTint="80"/>
          <w:bottom w:val="none"/>
        </w:tcBorders>
      </w:tcPr>
    </w:tblStylePr>
    <w:tblStylePr w:type="firstRow">
      <w:rPr>
        <w:rFonts w:ascii="Arial" w:hAnsi="Arial"/>
        <w:b/>
        <w:color w:val="3664A9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664A9" w:themeColor="accent1" w:themeTint="80" w:themeShade="95"/>
        <w:sz w:val="22"/>
      </w:rPr>
      <w:tcPr>
        <w:shd w:fill="FFFFFF" w:color="FFFFFF"/>
        <w:tcBorders>
          <w:left w:val="single" w:color="000000" w:sz="4" w:space="0" w:themeColor="accen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3664A9" w:themeColor="accen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 w:themeTint="80"/>
          <w:right w:val="none"/>
          <w:bottom w:val="none"/>
        </w:tcBorders>
      </w:tcPr>
    </w:tblStylePr>
  </w:style>
  <w:style w:type="table" w:styleId="97">
    <w:name w:val="Grid Table 7 Colorful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32"/>
      </w:tcPr>
    </w:tblStylePr>
    <w:tblStylePr w:type="band1Vert">
      <w:tcPr>
        <w:shd w:val="clear" w:fill="FFFFFF" w:color="FFFFFF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</w:style>
  <w:style w:type="table" w:styleId="98">
    <w:name w:val="Grid Table 7 Colorful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fill="FFFFFF" w:color="FFFFFF" w:themeFill="accent3" w:themeFillTint="34"/>
      </w:tcPr>
    </w:tblStylePr>
    <w:tblStylePr w:type="band1Vert">
      <w:tcPr>
        <w:shd w:val="clear" w:fill="FFFFFF" w:color="FFFFFF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FE"/>
          <w:bottom w:val="none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fill="FFFFFF" w:color="FFFFFF"/>
        <w:tcBorders>
          <w:left w:val="single" w:color="000000" w:sz="4" w:space="0" w:themeColor="accent3" w:themeTint="FE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FE"/>
          <w:right w:val="none"/>
          <w:bottom w:val="none"/>
        </w:tcBorders>
      </w:tcPr>
    </w:tblStylePr>
  </w:style>
  <w:style w:type="table" w:styleId="99">
    <w:name w:val="Grid Table 7 Colorful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34"/>
      </w:tcPr>
    </w:tblStylePr>
    <w:tblStylePr w:type="band1Vert">
      <w:tcPr>
        <w:shd w:val="clear" w:fill="FFFFFF" w:color="FFFFFF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</w:style>
  <w:style w:type="table" w:styleId="100">
    <w:name w:val="Grid Table 7 Colorful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45D8D" w:themeColor="accent5" w:themeShade="95"/>
        <w:sz w:val="22"/>
      </w:rPr>
      <w:tcPr>
        <w:shd w:val="clear" w:fill="FFFFFF" w:color="FFFFFF" w:themeFill="accent5" w:themeFillTint="34"/>
      </w:tcPr>
    </w:tblStylePr>
    <w:tblStylePr w:type="band1Vert">
      <w:tcPr>
        <w:shd w:val="clear" w:fill="FFFFFF" w:color="FFFFFF" w:themeFill="accent5" w:themeFillTint="34"/>
      </w:tcPr>
    </w:tblStylePr>
    <w:tblStylePr w:type="band2Horz">
      <w:rPr>
        <w:rFonts w:ascii="Arial" w:hAnsi="Arial"/>
        <w:color w:val="245D8D" w:themeColor="accent5" w:themeShade="95"/>
        <w:sz w:val="22"/>
      </w:rPr>
    </w:tblStylePr>
    <w:tblStylePr w:type="firstCol">
      <w:rPr>
        <w:rFonts w:ascii="Arial" w:hAnsi="Arial"/>
        <w:i/>
        <w:color w:val="245D8D" w:themeColor="accent5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0"/>
          <w:bottom w:val="none"/>
        </w:tcBorders>
      </w:tcPr>
    </w:tblStylePr>
    <w:tblStylePr w:type="firstRow">
      <w:rPr>
        <w:rFonts w:ascii="Arial" w:hAnsi="Arial"/>
        <w:b/>
        <w:color w:val="245D8D" w:themeColor="accent5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45D8D" w:themeColor="accent5" w:themeShade="95"/>
        <w:sz w:val="22"/>
      </w:rPr>
      <w:tcPr>
        <w:shd w:fill="FFFFFF" w:color="FFFFFF"/>
        <w:tcBorders>
          <w:left w:val="single" w:color="000000" w:sz="4" w:space="0" w:themeColor="accent5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245D8D" w:themeColor="accent5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0"/>
          <w:right w:val="none"/>
          <w:bottom w:val="none"/>
        </w:tcBorders>
      </w:tcPr>
    </w:tblStylePr>
  </w:style>
  <w:style w:type="table" w:styleId="101">
    <w:name w:val="Grid Table 7 Colorful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fill="FFFFFF" w:color="FFFFFF" w:themeFill="accent6" w:themeFillTint="34"/>
      </w:tcPr>
    </w:tblStylePr>
    <w:tblStylePr w:type="band1Vert">
      <w:tcPr>
        <w:shd w:val="clear" w:fill="FFFFFF" w:color="FFFFFF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0"/>
          <w:bottom w:val="none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fill="FFFFFF" w:color="FFFFFF"/>
        <w:tcBorders>
          <w:left w:val="single" w:color="000000" w:sz="4" w:space="0" w:themeColor="accent6" w:themeTint="90"/>
          <w:top w:val="none"/>
          <w:right w:val="none"/>
          <w:bottom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0"/>
          <w:right w:val="none"/>
          <w:bottom w:val="none"/>
        </w:tcBorders>
      </w:tcPr>
    </w:tblStylePr>
  </w:style>
  <w:style w:type="table" w:styleId="102">
    <w:name w:val="List Table 1 Light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103">
    <w:name w:val="List Table 1 Light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104">
    <w:name w:val="List Table 1 Light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105">
    <w:name w:val="List Table 1 Light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106">
    <w:name w:val="List Table 1 Light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107">
    <w:name w:val="List Table 1 Light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108">
    <w:name w:val="List Table 1 Light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109">
    <w:name w:val="List Table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110">
    <w:name w:val="List Table 2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111">
    <w:name w:val="List Table 2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112">
    <w:name w:val="List Table 2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113">
    <w:name w:val="List Table 2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114">
    <w:name w:val="List Table 2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115">
    <w:name w:val="List Table 2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116">
    <w:name w:val="List Table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fill="FFFFFF" w:color="FFFFF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fill="FFFFFF" w:color="FFFFFF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fill="FFFFFF" w:color="FFFFFF" w:themeFill="text1" w:themeFillTint="80"/>
    </w:tblPr>
    <w:tblStylePr w:type="band1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text1" w:themeFill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text1" w:themeFill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text1" w:themeFill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fill="FFFFFF" w:color="FFFFFF" w:themeFill="accent1"/>
    </w:tblPr>
    <w:tblStylePr w:type="band1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fill="FFFFFF" w:color="FFFFFF" w:themeFill="accent2" w:themeFillTint="97"/>
    </w:tblPr>
    <w:tblStylePr w:type="band1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2" w:themeFill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2" w:themeFill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2" w:themeFill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fill="FFFFFF" w:color="FFFFFF" w:themeFill="accent3" w:themeFillTint="98"/>
    </w:tblPr>
    <w:tblStylePr w:type="band1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3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3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3" w:themeFill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fill="FFFFFF" w:color="FFFFFF" w:themeFill="accent4" w:themeFillTint="9A"/>
    </w:tblPr>
    <w:tblStylePr w:type="band1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4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4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4" w:themeFill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fill="FFFFFF" w:color="FFFFFF" w:themeFill="accent5" w:themeFillTint="9A"/>
    </w:tblPr>
    <w:tblStylePr w:type="band1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5" w:themeFill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5" w:themeFill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5" w:themeFill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fill="FFFFFF" w:color="FFFFFF" w:themeFill="accent6" w:themeFillTint="98"/>
    </w:tblPr>
    <w:tblStylePr w:type="band1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fill="FFFFFF" w:color="FFFFFF" w:themeFill="accent6" w:themeFill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fill="FFFFFF" w:color="FFFFFF" w:themeFill="accent6" w:themeFill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fill="FFFFFF" w:color="FFFFFF" w:themeFill="accent6" w:themeFill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138">
    <w:name w:val="List Table 6 Colorful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54374" w:themeColor="accent1" w:themeShade="95"/>
      </w:rPr>
    </w:tblStylePr>
    <w:tblStylePr w:type="firstRow">
      <w:rPr>
        <w:b/>
        <w:color w:val="254374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54374" w:themeColor="accent1" w:themeShade="95"/>
      </w:rPr>
    </w:tblStylePr>
    <w:tblStylePr w:type="lastRow">
      <w:rPr>
        <w:b/>
        <w:color w:val="254374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139">
    <w:name w:val="List Table 6 Colorful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140">
    <w:name w:val="List Table 6 Colorful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141">
    <w:name w:val="List Table 6 Colorful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142">
    <w:name w:val="List Table 6 Colorful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2E78B1" w:themeColor="accent5" w:themeTint="9A" w:themeShade="95"/>
      </w:rPr>
    </w:tblStylePr>
    <w:tblStylePr w:type="firstRow">
      <w:rPr>
        <w:b/>
        <w:color w:val="2E78B1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2E78B1" w:themeColor="accent5" w:themeTint="9A" w:themeShade="95"/>
      </w:rPr>
    </w:tblStylePr>
    <w:tblStylePr w:type="lastRow">
      <w:rPr>
        <w:b/>
        <w:color w:val="2E78B1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143">
    <w:name w:val="List Table 6 Colorful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144">
    <w:name w:val="List Table 7 Colorful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fill="FFFFFF" w:color="FFFFFF" w:themeFill="text1" w:themeFillTint="40"/>
      </w:tcPr>
    </w:tblStylePr>
    <w:tblStylePr w:type="band1Vert">
      <w:tcPr>
        <w:shd w:val="clear" w:fill="FFFFFF" w:color="FFFFF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text1" w:themeTint="80"/>
          <w:bottom w:val="none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fill="FFFFFF" w:color="FFFFFF"/>
        <w:tcBorders>
          <w:left w:val="single" w:color="000000" w:sz="4" w:space="0" w:themeColor="text1" w:themeTint="80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text1" w:themeTint="80"/>
          <w:right w:val="none"/>
          <w:bottom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54374" w:themeColor="accent1" w:themeShade="95"/>
        <w:sz w:val="22"/>
      </w:rPr>
      <w:tcPr>
        <w:shd w:val="clear" w:fill="FFFFFF" w:color="FFFFFF" w:themeFill="accent1" w:themeFillTint="40"/>
      </w:tcPr>
    </w:tblStylePr>
    <w:tblStylePr w:type="band1Vert">
      <w:tcPr>
        <w:shd w:val="clear" w:fill="FFFFFF" w:color="FFFFFF" w:themeFill="accent1" w:themeFillTint="40"/>
      </w:tcPr>
    </w:tblStylePr>
    <w:tblStylePr w:type="band2Horz">
      <w:rPr>
        <w:rFonts w:ascii="Arial" w:hAnsi="Arial"/>
        <w:color w:val="254374" w:themeColor="accent1" w:themeShade="95"/>
        <w:sz w:val="22"/>
      </w:rPr>
    </w:tblStylePr>
    <w:tblStylePr w:type="firstCol">
      <w:rPr>
        <w:rFonts w:ascii="Arial" w:hAnsi="Arial"/>
        <w:i/>
        <w:color w:val="254374" w:themeColor="accent1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1"/>
          <w:bottom w:val="none"/>
        </w:tcBorders>
      </w:tcPr>
    </w:tblStylePr>
    <w:tblStylePr w:type="firstRow">
      <w:rPr>
        <w:rFonts w:ascii="Arial" w:hAnsi="Arial"/>
        <w:i/>
        <w:color w:val="254374" w:themeColor="accent1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54374" w:themeColor="accent1" w:themeShade="95"/>
        <w:sz w:val="22"/>
      </w:rPr>
      <w:tcPr>
        <w:shd w:fill="FFFFFF" w:color="FFFFFF"/>
        <w:tcBorders>
          <w:left w:val="single" w:color="000000" w:sz="4" w:space="0" w:themeColor="accent1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54374" w:themeColor="accent1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1"/>
          <w:right w:val="none"/>
          <w:bottom w:val="none"/>
        </w:tcBorders>
      </w:tcPr>
    </w:tblStylePr>
    <w:tblStylePr w:type="wholeTable">
      <w:rPr>
        <w:rFonts w:ascii="Arial" w:hAnsi="Arial"/>
        <w:color w:val="254374" w:themeColor="accent1" w:themeShade="95"/>
        <w:sz w:val="22"/>
      </w:rPr>
    </w:tblStylePr>
  </w:style>
  <w:style w:type="table" w:styleId="146">
    <w:name w:val="List Table 7 Colorful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fill="FFFFFF" w:color="FFFFFF" w:themeFill="accent2" w:themeFillTint="40"/>
      </w:tcPr>
    </w:tblStylePr>
    <w:tblStylePr w:type="band1Vert">
      <w:tcPr>
        <w:shd w:val="clear" w:fill="FFFFFF" w:color="FFFFFF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2" w:themeTint="97"/>
          <w:bottom w:val="none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fill="FFFFFF" w:color="FFFFFF"/>
        <w:tcBorders>
          <w:left w:val="single" w:color="000000" w:sz="4" w:space="0" w:themeColor="accent2" w:themeTint="97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2" w:themeTint="97"/>
          <w:right w:val="none"/>
          <w:bottom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7">
    <w:name w:val="List Table 7 Colorful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fill="FFFFFF" w:color="FFFFFF" w:themeFill="accent3" w:themeFillTint="40"/>
      </w:tcPr>
    </w:tblStylePr>
    <w:tblStylePr w:type="band1Vert">
      <w:tcPr>
        <w:shd w:val="clear" w:fill="FFFFFF" w:color="FFFFFF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3" w:themeTint="98"/>
          <w:bottom w:val="none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fill="FFFFFF" w:color="FFFFFF"/>
        <w:tcBorders>
          <w:left w:val="single" w:color="000000" w:sz="4" w:space="0" w:themeColor="accent3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3" w:themeTint="98"/>
          <w:right w:val="none"/>
          <w:bottom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8">
    <w:name w:val="List Table 7 Colorful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fill="FFFFFF" w:color="FFFFFF" w:themeFill="accent4" w:themeFillTint="40"/>
      </w:tcPr>
    </w:tblStylePr>
    <w:tblStylePr w:type="band1Vert">
      <w:tcPr>
        <w:shd w:val="clear" w:fill="FFFFFF" w:color="FFFFF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4" w:themeTint="9A"/>
          <w:bottom w:val="none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fill="FFFFFF" w:color="FFFFFF"/>
        <w:tcBorders>
          <w:left w:val="single" w:color="000000" w:sz="4" w:space="0" w:themeColor="accent4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4" w:themeTint="9A"/>
          <w:right w:val="none"/>
          <w:bottom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49">
    <w:name w:val="List Table 7 Colorful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2E78B1" w:themeColor="accent5" w:themeTint="9A" w:themeShade="95"/>
        <w:sz w:val="22"/>
      </w:rPr>
      <w:tcPr>
        <w:shd w:val="clear" w:fill="FFFFFF" w:color="FFFFFF" w:themeFill="accent5" w:themeFillTint="40"/>
      </w:tcPr>
    </w:tblStylePr>
    <w:tblStylePr w:type="band1Vert">
      <w:tcPr>
        <w:shd w:val="clear" w:fill="FFFFFF" w:color="FFFFFF" w:themeFill="accent5" w:themeFillTint="40"/>
      </w:tcPr>
    </w:tblStylePr>
    <w:tblStylePr w:type="band2Horz">
      <w:rPr>
        <w:rFonts w:ascii="Arial" w:hAnsi="Arial"/>
        <w:color w:val="2E78B1" w:themeColor="accent5" w:themeTint="9A" w:themeShade="95"/>
        <w:sz w:val="22"/>
      </w:rPr>
    </w:tblStylePr>
    <w:tblStylePr w:type="firstCol">
      <w:rPr>
        <w:rFonts w:ascii="Arial" w:hAnsi="Arial"/>
        <w:i/>
        <w:color w:val="2E78B1" w:themeColor="accent5" w:themeTint="9A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5" w:themeTint="9A"/>
          <w:bottom w:val="none"/>
        </w:tcBorders>
      </w:tcPr>
    </w:tblStylePr>
    <w:tblStylePr w:type="firstRow">
      <w:rPr>
        <w:rFonts w:ascii="Arial" w:hAnsi="Arial"/>
        <w:i/>
        <w:color w:val="2E78B1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2E78B1" w:themeColor="accent5" w:themeTint="9A" w:themeShade="95"/>
        <w:sz w:val="22"/>
      </w:rPr>
      <w:tcPr>
        <w:shd w:fill="FFFFFF" w:color="FFFFFF"/>
        <w:tcBorders>
          <w:left w:val="single" w:color="000000" w:sz="4" w:space="0" w:themeColor="accent5" w:themeTint="9A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2E78B1" w:themeColor="accent5" w:themeTint="9A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5" w:themeTint="9A"/>
          <w:right w:val="none"/>
          <w:bottom w:val="none"/>
        </w:tcBorders>
      </w:tcPr>
    </w:tblStylePr>
    <w:tblStylePr w:type="wholeTable">
      <w:rPr>
        <w:rFonts w:ascii="Arial" w:hAnsi="Arial"/>
        <w:color w:val="2E78B1" w:themeColor="accent5" w:themeTint="9A" w:themeShade="95"/>
        <w:sz w:val="22"/>
      </w:rPr>
    </w:tblStylePr>
  </w:style>
  <w:style w:type="table" w:styleId="150">
    <w:name w:val="List Table 7 Colorful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fill="FFFFFF" w:color="FFFFFF" w:themeFill="accent6" w:themeFillTint="40"/>
      </w:tcPr>
    </w:tblStylePr>
    <w:tblStylePr w:type="band1Vert">
      <w:tcPr>
        <w:shd w:val="clear" w:fill="FFFFFF" w:color="FFFFFF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fill="FFFFFF" w:color="FFFFFF"/>
        <w:tcBorders>
          <w:left w:val="none"/>
          <w:top w:val="none"/>
          <w:right w:val="single" w:color="000000" w:sz="4" w:space="0" w:themeColor="accent6" w:themeTint="98"/>
          <w:bottom w:val="none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none"/>
          <w:right w:val="none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fill="FFFFFF" w:color="FFFFFF"/>
        <w:tcBorders>
          <w:left w:val="single" w:color="000000" w:sz="4" w:space="0" w:themeColor="accent6" w:themeTint="98"/>
          <w:top w:val="none"/>
          <w:right w:val="none"/>
          <w:bottom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fill="FFFFFF" w:color="FFFFFF" w:themeFill="light1"/>
        <w:tcBorders>
          <w:left w:val="none"/>
          <w:top w:val="single" w:color="000000" w:sz="4" w:space="0" w:themeColor="accent6" w:themeTint="98"/>
          <w:right w:val="none"/>
          <w:bottom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1">
    <w:name w:val="Lined - Accent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2">
    <w:name w:val="Lined - Accent 1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53">
    <w:name w:val="Lined - Accent 2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54">
    <w:name w:val="Lined - Accent 3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55">
    <w:name w:val="Lined - Accent 4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56">
    <w:name w:val="Lined - Accent 5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57">
    <w:name w:val="Lined - Accent 6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58">
    <w:name w:val="Bordered &amp; Lined - Accent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text1" w:themeFillTint="80"/>
      </w:tcPr>
    </w:tblStylePr>
  </w:style>
  <w:style w:type="table" w:styleId="159">
    <w:name w:val="Bordered &amp; Lined - Accent 1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1" w:themeFillTint="EA"/>
      </w:tcPr>
    </w:tblStylePr>
  </w:style>
  <w:style w:type="table" w:styleId="160">
    <w:name w:val="Bordered &amp; Lined - Accent 2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2" w:themeFillTint="97"/>
      </w:tcPr>
    </w:tblStylePr>
  </w:style>
  <w:style w:type="table" w:styleId="161">
    <w:name w:val="Bordered &amp; Lined - Accent 3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3" w:themeFillTint="FE"/>
      </w:tcPr>
    </w:tblStylePr>
  </w:style>
  <w:style w:type="table" w:styleId="162">
    <w:name w:val="Bordered &amp; Lined - Accent 4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4" w:themeFillTint="9A"/>
      </w:tcPr>
    </w:tblStylePr>
  </w:style>
  <w:style w:type="table" w:styleId="163">
    <w:name w:val="Bordered &amp; Lined - Accent 5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5"/>
      </w:tcPr>
    </w:tblStylePr>
  </w:style>
  <w:style w:type="table" w:styleId="164">
    <w:name w:val="Bordered &amp; Lined - Accent 6"/>
    <w:basedOn w:val="42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fill="FFFFFF" w:color="FFFFFF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fill="FFFFFF" w:color="FFFFFF" w:themeFill="accent6"/>
      </w:tcPr>
    </w:tblStylePr>
  </w:style>
  <w:style w:type="table" w:styleId="165">
    <w:name w:val="Bordered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166">
    <w:name w:val="Bordered - Accent 1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167">
    <w:name w:val="Bordered - Accent 2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168">
    <w:name w:val="Bordered - Accent 3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169">
    <w:name w:val="Bordered - Accent 4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170">
    <w:name w:val="Bordered - Accent 5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171">
    <w:name w:val="Bordered - Accent 6"/>
    <w:basedOn w:val="42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paragraph" w:styleId="173">
    <w:name w:val="footnote text"/>
    <w:basedOn w:val="422"/>
    <w:link w:val="174"/>
    <w:uiPriority w:val="99"/>
    <w:semiHidden/>
    <w:unhideWhenUsed/>
    <w:rPr>
      <w:sz w:val="18"/>
    </w:rPr>
    <w:pPr>
      <w:spacing w:lineRule="auto" w:line="240" w:after="40"/>
    </w:p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423"/>
    <w:uiPriority w:val="99"/>
    <w:unhideWhenUsed/>
    <w:rPr>
      <w:vertAlign w:val="superscript"/>
    </w:rPr>
  </w:style>
  <w:style w:type="paragraph" w:styleId="176">
    <w:name w:val="endnote text"/>
    <w:basedOn w:val="422"/>
    <w:link w:val="177"/>
    <w:uiPriority w:val="99"/>
    <w:semiHidden/>
    <w:unhideWhenUsed/>
    <w:rPr>
      <w:sz w:val="20"/>
    </w:rPr>
    <w:pPr>
      <w:spacing w:lineRule="auto" w:line="240" w:after="0"/>
    </w:p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423"/>
    <w:uiPriority w:val="99"/>
    <w:semiHidden/>
    <w:unhideWhenUsed/>
    <w:rPr>
      <w:vertAlign w:val="superscript"/>
    </w:rPr>
  </w:style>
  <w:style w:type="paragraph" w:styleId="179">
    <w:name w:val="toc 1"/>
    <w:basedOn w:val="422"/>
    <w:next w:val="422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422"/>
    <w:next w:val="422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422"/>
    <w:next w:val="422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422"/>
    <w:next w:val="422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422"/>
    <w:next w:val="422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422"/>
    <w:next w:val="422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422"/>
    <w:next w:val="422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422"/>
    <w:next w:val="422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422"/>
    <w:next w:val="422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422" w:default="1">
    <w:name w:val="Normal"/>
    <w:qFormat/>
  </w:style>
  <w:style w:type="character" w:styleId="423" w:default="1">
    <w:name w:val="Default Paragraph Font"/>
    <w:uiPriority w:val="1"/>
    <w:semiHidden/>
    <w:unhideWhenUsed/>
  </w:style>
  <w:style w:type="table" w:styleId="4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425" w:default="1">
    <w:name w:val="No List"/>
    <w:uiPriority w:val="99"/>
    <w:semiHidden/>
    <w:unhideWhenUsed/>
  </w:style>
  <w:style w:type="paragraph" w:styleId="426">
    <w:name w:val="Normal (Web)"/>
    <w:basedOn w:val="422"/>
    <w:uiPriority w:val="99"/>
    <w:semiHidden/>
    <w:unhideWhenUsed/>
    <w:rPr>
      <w:rFonts w:ascii="Times New Roman" w:hAnsi="Times New Roman" w:cs="Times New Roman" w:eastAsia="Times New Roman"/>
      <w:sz w:val="24"/>
      <w:szCs w:val="24"/>
      <w:lang w:eastAsia="ru-RU"/>
    </w:rPr>
    <w:pPr>
      <w:spacing w:lineRule="auto" w:line="240" w:after="100" w:afterAutospacing="1" w:before="100" w:beforeAutospacing="1"/>
    </w:pPr>
  </w:style>
  <w:style w:type="paragraph" w:styleId="427">
    <w:name w:val="List Paragraph"/>
    <w:basedOn w:val="422"/>
    <w:qFormat/>
    <w:uiPriority w:val="34"/>
    <w:pPr>
      <w:contextualSpacing w:val="true"/>
      <w:ind w:left="720"/>
      <w:spacing w:lineRule="auto" w:line="276" w:after="200"/>
    </w:pPr>
  </w:style>
  <w:style w:type="table" w:styleId="428">
    <w:name w:val="Table Grid"/>
    <w:basedOn w:val="424"/>
    <w:rPr>
      <w:rFonts w:ascii="Times New Roman" w:hAnsi="Times New Roman" w:cs="Times New Roman" w:eastAsia="Times New Roman"/>
      <w:sz w:val="20"/>
      <w:szCs w:val="20"/>
      <w:lang w:eastAsia="ru-RU"/>
    </w:rPr>
    <w:pPr>
      <w:spacing w:lineRule="auto" w:line="240" w:after="0"/>
    </w:pPr>
    <w:tblPr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</w:tblPr>
  </w:style>
  <w:style w:type="character" w:styleId="429">
    <w:name w:val="Hyperlink"/>
    <w:basedOn w:val="423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hart" Target="charts/chart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charts/_rels/chart1.xml.rels><?xml version="1.0" encoding="UTF-8" standalone="yes"?><Relationships xmlns="http://schemas.openxmlformats.org/package/2006/relationships"><Relationship Id="rId1" Type="http://schemas.openxmlformats.org/officeDocument/2006/relationships/package" Target="../embeddings/Microsoft_Excel_Worksheet1.xlsx" 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mc="http://schemas.openxmlformats.org/markup-compatibility/2006" xmlns:c14="http://schemas.microsoft.com/office/drawing/2007/8/2/chart">
  <c:date1904 val="0"/>
  <c:lang val="ru-RU"/>
  <c:roundedCorners val="0"/>
  <mc:AlternateContent>
    <mc:Choice Requires="c14">
      <c14:style val="102"/>
    </mc:Choice>
    <mc:Fallback>
      <c:style val="2"/>
    </mc:Fallback>
  </mc:AlternateContent>
  <c:chart>
    <c:autoTitleDeleted val="1"/>
    <c:view3D>
      <c:rotX val="15"/>
      <c:hPercent val="100"/>
      <c:rotY val="20"/>
      <c:depthPercent val="100"/>
      <c:rAngAx val="1"/>
    </c:view3D>
    <c:floor>
      <c:thickness val="0"/>
      <c:spPr bwMode="auto">
        <a:prstGeom prst="rect">
          <a:avLst/>
        </a:prstGeom>
        <a:noFill/>
        <a:ln>
          <a:noFill/>
        </a:ln>
      </c:spPr>
    </c:floor>
    <c:sideWall>
      <c:thickness val="0"/>
      <c:spPr bwMode="auto">
        <a:prstGeom prst="rect">
          <a:avLst/>
        </a:prstGeom>
        <a:noFill/>
        <a:ln>
          <a:noFill/>
        </a:ln>
      </c:spPr>
    </c:sideWall>
    <c:backWall>
      <c:thickness val="0"/>
      <c:spPr bwMode="auto">
        <a:prstGeom prst="rect">
          <a:avLst/>
        </a:prstGeom>
        <a:noFill/>
        <a:ln>
          <a:noFill/>
        </a:ln>
      </c:spPr>
    </c:backWall>
    <c:plotArea>
      <c:layout/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высокий</c:v>
                </c:pt>
              </c:strCache>
            </c:strRef>
          </c:tx>
          <c:spPr bwMode="auto">
            <a:prstGeom prst="rect">
              <a:avLst/>
            </a:prstGeom>
            <a:gradFill>
              <a:gsLst>
                <a:gs pos="0">
                  <a:schemeClr val="accent1">
                    <a:satMod val="103000"/>
                    <a:lumMod val="102000"/>
                    <a:tint val="94000"/>
                  </a:schemeClr>
                </a:gs>
                <a:gs pos="50000">
                  <a:schemeClr val="accent1">
                    <a:satMod val="110000"/>
                    <a:lumMod val="100000"/>
                    <a:shade val="100000"/>
                  </a:schemeClr>
                </a:gs>
                <a:gs pos="100000">
                  <a:schemeClr val="accent1">
                    <a:lumMod val="99000"/>
                    <a:satMod val="120000"/>
                    <a:shade val="78000"/>
                  </a:schemeClr>
                </a:gs>
              </a:gsLst>
              <a:lin ang="5400000" scaled="false"/>
            </a:gradFill>
            <a:ln>
              <a:noFill/>
            </a:ln>
          </c:spPr>
          <c:invertIfNegative val="0"/>
          <c:cat>
            <c:strRef>
              <c:f>Sheet1!$B$1:$J$1</c:f>
              <c:strCache>
                <c:ptCount val="4"/>
                <c:pt idx="0">
                  <c:v xml:space="preserve">1 кв</c:v>
                </c:pt>
                <c:pt idx="1">
                  <c:v xml:space="preserve">2 кв</c:v>
                </c:pt>
                <c:pt idx="2">
                  <c:v xml:space="preserve">3 кв</c:v>
                </c:pt>
                <c:pt idx="3">
                  <c:v xml:space="preserve">4 кв</c:v>
                </c:pt>
              </c:strCache>
            </c:strRef>
          </c:cat>
          <c:val>
            <c:numRef>
              <c:f>Sheet1!$B$2:$J$2</c:f>
              <c:numCache>
                <c:formatCode>General</c:formatCode>
                <c:ptCount val="9"/>
                <c:pt idx="0">
                  <c:v>82.2</c:v>
                </c:pt>
                <c:pt idx="1">
                  <c:v>64.3</c:v>
                </c:pt>
                <c:pt idx="2">
                  <c:v>53.6</c:v>
                </c:pt>
                <c:pt idx="3">
                  <c:v>7.2</c:v>
                </c:pt>
                <c:pt idx="4">
                  <c:v>45.2</c:v>
                </c:pt>
                <c:pt idx="5">
                  <c:v>92.3</c:v>
                </c:pt>
                <c:pt idx="6">
                  <c:v>15.4</c:v>
                </c:pt>
                <c:pt idx="7">
                  <c:v>84.6</c:v>
                </c:pt>
                <c:pt idx="8">
                  <c:v>30.8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средний</c:v>
                </c:pt>
              </c:strCache>
            </c:strRef>
          </c:tx>
          <c:spPr bwMode="auto">
            <a:prstGeom prst="rect">
              <a:avLst/>
            </a:prstGeom>
            <a:gradFill>
              <a:gsLst>
                <a:gs pos="0">
                  <a:schemeClr val="accent2">
                    <a:satMod val="103000"/>
                    <a:lumMod val="102000"/>
                    <a:tint val="94000"/>
                  </a:schemeClr>
                </a:gs>
                <a:gs pos="50000">
                  <a:schemeClr val="accent2">
                    <a:satMod val="110000"/>
                    <a:lumMod val="100000"/>
                    <a:shade val="100000"/>
                  </a:schemeClr>
                </a:gs>
                <a:gs pos="100000">
                  <a:schemeClr val="accent2">
                    <a:lumMod val="99000"/>
                    <a:satMod val="120000"/>
                    <a:shade val="78000"/>
                  </a:schemeClr>
                </a:gs>
              </a:gsLst>
              <a:lin ang="5400000" scaled="false"/>
            </a:gradFill>
            <a:ln>
              <a:noFill/>
            </a:ln>
          </c:spPr>
          <c:invertIfNegative val="0"/>
          <c:cat>
            <c:strRef>
              <c:f>Sheet1!$B$1:$J$1</c:f>
              <c:strCache>
                <c:ptCount val="4"/>
                <c:pt idx="0">
                  <c:v xml:space="preserve">1 кв</c:v>
                </c:pt>
                <c:pt idx="1">
                  <c:v xml:space="preserve">2 кв</c:v>
                </c:pt>
                <c:pt idx="2">
                  <c:v xml:space="preserve">3 кв</c:v>
                </c:pt>
                <c:pt idx="3">
                  <c:v xml:space="preserve">4 кв</c:v>
                </c:pt>
              </c:strCache>
            </c:strRef>
          </c:cat>
          <c:val>
            <c:numRef>
              <c:f>Sheet1!$B$3:$J$3</c:f>
              <c:numCache>
                <c:formatCode>General</c:formatCode>
                <c:ptCount val="9"/>
                <c:pt idx="0">
                  <c:v>17.8</c:v>
                </c:pt>
                <c:pt idx="1">
                  <c:v>25</c:v>
                </c:pt>
                <c:pt idx="2">
                  <c:v>32.2</c:v>
                </c:pt>
                <c:pt idx="3">
                  <c:v>71.4</c:v>
                </c:pt>
                <c:pt idx="4">
                  <c:v>53.8</c:v>
                </c:pt>
                <c:pt idx="5">
                  <c:v>7.7</c:v>
                </c:pt>
                <c:pt idx="6">
                  <c:v>30.8</c:v>
                </c:pt>
                <c:pt idx="7">
                  <c:v>15.4</c:v>
                </c:pt>
                <c:pt idx="8">
                  <c:v>45.2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низкий</c:v>
                </c:pt>
              </c:strCache>
            </c:strRef>
          </c:tx>
          <c:spPr bwMode="auto">
            <a:prstGeom prst="rect">
              <a:avLst/>
            </a:prstGeom>
            <a:gradFill>
              <a:gsLst>
                <a:gs pos="0">
                  <a:schemeClr val="accent3">
                    <a:satMod val="103000"/>
                    <a:lumMod val="102000"/>
                    <a:tint val="94000"/>
                  </a:schemeClr>
                </a:gs>
                <a:gs pos="50000">
                  <a:schemeClr val="accent3">
                    <a:satMod val="110000"/>
                    <a:lumMod val="100000"/>
                    <a:shade val="100000"/>
                  </a:schemeClr>
                </a:gs>
                <a:gs pos="100000">
                  <a:schemeClr val="accent3">
                    <a:lumMod val="99000"/>
                    <a:satMod val="120000"/>
                    <a:shade val="78000"/>
                  </a:schemeClr>
                </a:gs>
              </a:gsLst>
              <a:lin ang="5400000" scaled="false"/>
            </a:gradFill>
            <a:ln>
              <a:noFill/>
            </a:ln>
          </c:spPr>
          <c:invertIfNegative val="0"/>
          <c:cat>
            <c:strRef>
              <c:f>Sheet1!$B$1:$J$1</c:f>
              <c:strCache>
                <c:ptCount val="4"/>
                <c:pt idx="0">
                  <c:v xml:space="preserve">1 кв</c:v>
                </c:pt>
                <c:pt idx="1">
                  <c:v xml:space="preserve">2 кв</c:v>
                </c:pt>
                <c:pt idx="2">
                  <c:v xml:space="preserve">3 кв</c:v>
                </c:pt>
                <c:pt idx="3">
                  <c:v xml:space="preserve">4 кв</c:v>
                </c:pt>
              </c:strCache>
            </c:strRef>
          </c:cat>
          <c:val>
            <c:numRef>
              <c:f>Sheet1!$B$4:$J$4</c:f>
              <c:numCache>
                <c:formatCode>General</c:formatCode>
                <c:ptCount val="9"/>
                <c:pt idx="1">
                  <c:v>10.7</c:v>
                </c:pt>
                <c:pt idx="2">
                  <c:v>14.2</c:v>
                </c:pt>
                <c:pt idx="3">
                  <c:v>21.4</c:v>
                </c:pt>
                <c:pt idx="6">
                  <c:v>53.8</c:v>
                </c:pt>
                <c:pt idx="8">
                  <c:v>23</c:v>
                </c:pt>
              </c:numCache>
            </c:numRef>
          </c:val>
        </c:ser>
        <c:dLbls>
          <c:showBubbleSize val="0"/>
          <c:showCatName val="0"/>
          <c:showLeaderLines val="0"/>
          <c:showLegendKey val="0"/>
          <c:showPercent val="0"/>
          <c:showSerName val="0"/>
          <c:showVal val="0"/>
        </c:dLbls>
        <c:gapWidth val="150"/>
        <c:shape val="box"/>
        <c:axId val="1991565808"/>
        <c:axId val="1"/>
      </c:bar3DChart>
      <c:catAx>
        <c:axId val="1991565808"/>
        <c:scaling>
          <c:orientation val="minMax"/>
        </c:scaling>
        <c:delete val="1"/>
        <c:axPos val="b"/>
        <c:numFmt formatCode="General" sourceLinked="1"/>
        <c:majorTickMark val="out"/>
        <c:minorTickMark val="none"/>
        <c:tickLblPos val="nextTo"/>
        <c:crossAx val="1"/>
        <c:crosses val="autoZero"/>
        <c:auto val="0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 bwMode="auto">
            <a:prstGeom prst="rect">
              <a:avLst/>
            </a:prstGeom>
            <a:ln w="9525" cap="flat" cmpd="sng" algn="ctr">
              <a:solidFill>
                <a:schemeClr val="tx2">
                  <a:lumMod val="15000"/>
                  <a:lumOff val="85000"/>
                </a:schemeClr>
              </a:solidFill>
              <a:round/>
            </a:ln>
          </c:spPr>
        </c:majorGridlines>
        <c:numFmt formatCode="General" sourceLinked="1"/>
        <c:majorTickMark val="out"/>
        <c:minorTickMark val="none"/>
        <c:tickLblPos val="nextTo"/>
        <c:spPr bwMode="auto">
          <a:prstGeom prst="rect">
            <a:avLst/>
          </a:prstGeom>
          <a:noFill/>
          <a:ln>
            <a:noFill/>
          </a:ln>
        </c:spPr>
        <c:txPr>
          <a:bodyPr rot="0" spcFirstLastPara="true" vertOverflow="ellipsis" wrap="square" anchor="ctr" anchorCtr="true"/>
          <a:lstStyle/>
          <a:p>
            <a:pPr>
              <a:defRPr sz="900" b="0" i="0" u="none" strike="noStrike">
                <a:solidFill>
                  <a:schemeClr val="tx2"/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991565808"/>
        <c:crosses val="autoZero"/>
        <c:crossBetween val="between"/>
      </c:valAx>
      <c:spPr bwMode="auto">
        <a:prstGeom prst="rect">
          <a:avLst/>
        </a:prstGeom>
        <a:noFill/>
        <a:ln>
          <a:noFill/>
        </a:ln>
      </c:spPr>
    </c:plotArea>
    <c:legend>
      <c:legendPos val="r"/>
      <c:layout/>
      <c:overlay val="0"/>
      <c:spPr bwMode="auto">
        <a:prstGeom prst="rect">
          <a:avLst/>
        </a:prstGeom>
        <a:noFill/>
        <a:ln>
          <a:noFill/>
        </a:ln>
      </c:spPr>
      <c:txPr>
        <a:bodyPr rot="0" spcFirstLastPara="true" vertOverflow="ellipsis" vert="horz" wrap="square" anchor="ctr" anchorCtr="true"/>
        <a:lstStyle/>
        <a:p>
          <a:pPr>
            <a:defRPr sz="900" b="0" i="0" u="none" strike="noStrike">
              <a:solidFill>
                <a:schemeClr val="tx2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 bwMode="auto">
    <a:prstGeom prst="rect">
      <a:avLst/>
    </a:prstGeom>
    <a:solidFill>
      <a:schemeClr val="bg1"/>
    </a:solidFill>
    <a:ln w="9525" cap="flat" cmpd="sng" algn="ctr">
      <a:solidFill>
        <a:schemeClr val="tx2">
          <a:lumMod val="15000"/>
          <a:lumOff val="85000"/>
        </a:schemeClr>
      </a:solidFill>
      <a:round/>
    </a:ln>
  </c:spPr>
  <c:txPr>
    <a:bodyPr/>
    <a:lstStyle/>
    <a:p>
      <a:pPr>
        <a:defRPr/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Р7-Офис/6.1.0.68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Ситникова</dc:creator>
  <cp:keywords/>
  <dc:description/>
  <cp:revision>19</cp:revision>
  <dcterms:created xsi:type="dcterms:W3CDTF">2019-03-24T14:47:00Z</dcterms:created>
  <dcterms:modified xsi:type="dcterms:W3CDTF">2022-06-17T07:12:18Z</dcterms:modified>
</cp:coreProperties>
</file>