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5E" w:rsidRPr="00DF195E" w:rsidRDefault="00DF195E" w:rsidP="00DF195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F195E">
        <w:rPr>
          <w:rFonts w:ascii="Times New Roman" w:hAnsi="Times New Roman" w:cs="Times New Roman"/>
          <w:b/>
          <w:sz w:val="28"/>
          <w:szCs w:val="28"/>
        </w:rPr>
        <w:t>Влияние минеральных удобрений на прорастание и рост растений.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C3B11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DF195E">
        <w:rPr>
          <w:rFonts w:ascii="Times New Roman" w:hAnsi="Times New Roman" w:cs="Times New Roman"/>
          <w:sz w:val="28"/>
          <w:szCs w:val="28"/>
        </w:rPr>
        <w:t xml:space="preserve"> Необходимость применения удобрений в сельском хозяйстве ярко иллюстрирует утверждение Ю. Либиха о том, что истощение почвы из-за недостатка минеральных элементов вследствие их выноса из почвы  истощает почвы, в последстви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ослабляет людей, вызывая скрытые недостатки, которые американский ученый Альбрехт называет скрытым голоданием, убивающим народы медленно, но также верно, как и настоящее голодание.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Однако чрезмерное и неправильное использование удобрений в сельском хозяйстве дает также значительный отрицательный эффект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DF195E">
        <w:rPr>
          <w:rFonts w:ascii="Times New Roman" w:hAnsi="Times New Roman" w:cs="Times New Roman"/>
          <w:sz w:val="28"/>
          <w:szCs w:val="28"/>
        </w:rPr>
        <w:t>моей работы было практически исследовать влияние состава различных питательных сред на прорастание овса и рост растений.</w:t>
      </w:r>
    </w:p>
    <w:p w:rsidR="00DF195E" w:rsidRPr="00DF195E" w:rsidRDefault="00DF195E" w:rsidP="00DF195E">
      <w:pPr>
        <w:rPr>
          <w:rFonts w:ascii="Times New Roman" w:hAnsi="Times New Roman" w:cs="Times New Roman"/>
          <w:b/>
          <w:sz w:val="28"/>
          <w:szCs w:val="28"/>
        </w:rPr>
      </w:pPr>
      <w:r w:rsidRPr="00DF195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F195E" w:rsidRPr="00DF195E" w:rsidRDefault="00DF195E" w:rsidP="00DF19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Реализация познавательных потребностей через практическое исследование зависимости прорастания семян от питательной среды.</w:t>
      </w:r>
    </w:p>
    <w:p w:rsidR="00DF195E" w:rsidRPr="00DF195E" w:rsidRDefault="00DF195E" w:rsidP="00DF19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Выявление 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зависимости длины проростков семян овса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от питательной среды</w:t>
      </w:r>
    </w:p>
    <w:p w:rsidR="00DF195E" w:rsidRPr="00DF195E" w:rsidRDefault="00DF195E" w:rsidP="00DF19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 Мониторинг за  длиной проростка семян овса от времени исследовательской работы.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Исследовательская работа:</w:t>
      </w:r>
    </w:p>
    <w:p w:rsid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Для проведения исследовательской работы в трех  чашках Петри разместила по 16 семян овса. (Фото)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7373" cy="2776402"/>
            <wp:effectExtent l="19050" t="0" r="2177" b="0"/>
            <wp:docPr id="1" name="Рисунок 1" descr="C:\Users\Татьяна\Desktop\Петрова Ира\Y2pnp3ryTD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Петрова Ира\Y2pnp3ryTD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213" cy="2787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lastRenderedPageBreak/>
        <w:t>В контрольной чашке питательной средой являлась вода, в опытны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отдельно аммиачная селитра и двойной суперфосфат.</w:t>
      </w:r>
    </w:p>
    <w:p w:rsid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     Диаграмма 1 .Зависимость прорастания семян от питательной среды  </w:t>
      </w:r>
    </w:p>
    <w:p w:rsidR="00DF195E" w:rsidRPr="00B601B9" w:rsidRDefault="00DF195E" w:rsidP="00DF19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95E" w:rsidRPr="00B601B9" w:rsidRDefault="00DF195E" w:rsidP="00DF195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01B9">
        <w:rPr>
          <w:rFonts w:ascii="Times New Roman" w:hAnsi="Times New Roman" w:cs="Times New Roman"/>
          <w:sz w:val="24"/>
          <w:szCs w:val="24"/>
        </w:rPr>
        <w:t>К-во</w:t>
      </w:r>
      <w:proofErr w:type="spellEnd"/>
      <w:proofErr w:type="gramEnd"/>
      <w:r w:rsidRPr="00B601B9">
        <w:rPr>
          <w:rFonts w:ascii="Times New Roman" w:hAnsi="Times New Roman" w:cs="Times New Roman"/>
          <w:sz w:val="24"/>
          <w:szCs w:val="24"/>
        </w:rPr>
        <w:t xml:space="preserve">  шт.</w:t>
      </w:r>
      <w:r w:rsidRPr="00B601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1850" cy="211455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B601B9">
        <w:rPr>
          <w:rFonts w:ascii="Times New Roman" w:hAnsi="Times New Roman" w:cs="Times New Roman"/>
          <w:sz w:val="24"/>
          <w:szCs w:val="24"/>
        </w:rPr>
        <w:t xml:space="preserve"> </w:t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</w:r>
      <w:r w:rsidRPr="00B601B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дни</w:t>
      </w:r>
    </w:p>
    <w:p w:rsidR="00DF195E" w:rsidRPr="00B601B9" w:rsidRDefault="00DF195E" w:rsidP="00DF19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601B9">
        <w:rPr>
          <w:rFonts w:ascii="Times New Roman" w:hAnsi="Times New Roman" w:cs="Times New Roman"/>
          <w:sz w:val="24"/>
          <w:szCs w:val="24"/>
        </w:rPr>
        <w:t xml:space="preserve">1 ряд </w:t>
      </w:r>
      <w:proofErr w:type="gramStart"/>
      <w:r w:rsidRPr="00B601B9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B601B9">
        <w:rPr>
          <w:rFonts w:ascii="Times New Roman" w:hAnsi="Times New Roman" w:cs="Times New Roman"/>
          <w:sz w:val="24"/>
          <w:szCs w:val="24"/>
        </w:rPr>
        <w:t>ода; 2 ряд - аммиачная селитра; 3 ряд – двойной суперфосфат</w:t>
      </w:r>
      <w:r w:rsidRPr="00B601B9">
        <w:rPr>
          <w:rFonts w:ascii="Times New Roman" w:hAnsi="Times New Roman" w:cs="Times New Roman"/>
          <w:sz w:val="24"/>
          <w:szCs w:val="24"/>
        </w:rPr>
        <w:tab/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В результате опыта установила, что прорастание  всех семян наступило на второй день, причем в чашке с фосфорным удобрением проросло  5 семян, с азотным  3 , в контрольном опыте- 1 семя.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Результаты оформила 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графика наблюдений. У проросших семян в течени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нескольких дней измеряла длину проростков. Данные наблюдений занесла в таблицу и оформила в виде графика. </w:t>
      </w:r>
    </w:p>
    <w:p w:rsid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Диаграмма 2 Зависимость длины проростков семян овса от питательной среды</w:t>
      </w:r>
    </w:p>
    <w:p w:rsidR="00DF195E" w:rsidRDefault="00DF195E" w:rsidP="00DF195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F195E" w:rsidRDefault="00DF195E" w:rsidP="00DF195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8060" cy="1554480"/>
            <wp:effectExtent l="19050" t="0" r="15240" b="762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195E" w:rsidRPr="00DF195E" w:rsidRDefault="00DF195E" w:rsidP="00DF195E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  <w:t>1ряд-вода; 2ряд-амиачная селитра; 3 ряд - двойной суперфосфат;</w:t>
      </w:r>
    </w:p>
    <w:p w:rsid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lastRenderedPageBreak/>
        <w:t>В результате опыта установила, что рост проростков идет быстрее под влиянием аммиачной селитры и суперфосфата.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20084" cy="2120084"/>
            <wp:effectExtent l="19050" t="0" r="0" b="0"/>
            <wp:docPr id="5" name="Рисунок 3" descr="C:\Users\Татьяна\Desktop\Петрова Ира\LznX4ClRG0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Петрова Ира\LznX4ClRG0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581" cy="2126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66620" cy="2168434"/>
            <wp:effectExtent l="19050" t="0" r="5080" b="0"/>
            <wp:wrapSquare wrapText="bothSides"/>
            <wp:docPr id="4" name="Рисунок 2" descr="C:\Users\Татьяна\Desktop\Петрова Ира\1Xq_FTpwnv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Петрова Ира\1Xq_FTpwnvA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20" cy="216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F195E" w:rsidRDefault="00DF195E" w:rsidP="00DF195E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На шестой день проросшие семена посеяли в грунт в 2 ящика, где была почва одинакового образца. В первом ящике овес поливали только водой, а во втором подкармливала суперфосфатом 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на 1 литр воды- 0,25 грамм суперфосфата). В результате я наблюдала, что под влиянием суперфосфата овес рос быстрее, листья имели более темную окраску. Через день измерила в 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длину 10 проростков в обоих ящиках, вычисляла среднее ее значение и по результатам построила график зависимости средней длины проростков от времени.</w:t>
      </w:r>
      <w:r w:rsidRPr="00DF195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234ED" w:rsidRDefault="00271653" w:rsidP="00DF1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41625" cy="2115820"/>
            <wp:effectExtent l="19050" t="0" r="0" b="0"/>
            <wp:wrapSquare wrapText="bothSides"/>
            <wp:docPr id="8" name="Рисунок 5" descr="C:\Users\Татьяна\Desktop\Петрова Ира\J8MMBz7zP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тьяна\Desktop\Петрова Ира\J8MMBz7zP6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2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0234" cy="2116183"/>
            <wp:effectExtent l="19050" t="0" r="0" b="0"/>
            <wp:docPr id="9" name="Рисунок 6" descr="C:\Users\Татьяна\Desktop\Петрова Ира\IqsxfsnvK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тьяна\Desktop\Петрова Ира\IqsxfsnvKN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312" cy="213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</w:p>
    <w:p w:rsidR="008234ED" w:rsidRDefault="008234ED" w:rsidP="00DF19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F195E">
        <w:rPr>
          <w:rFonts w:ascii="Times New Roman" w:hAnsi="Times New Roman" w:cs="Times New Roman"/>
          <w:sz w:val="28"/>
          <w:szCs w:val="28"/>
        </w:rPr>
        <w:t>рафик зависимости средней длины проростков от времени.</w:t>
      </w:r>
      <w:r w:rsidRPr="00DF195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234ED" w:rsidRDefault="008234ED" w:rsidP="008234ED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57575" cy="1914525"/>
            <wp:effectExtent l="19050" t="0" r="95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F195E" w:rsidRPr="00DF195E" w:rsidRDefault="008234ED" w:rsidP="008234ED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1ряд-вода, 2ряд-двойной суперфосфат</w:t>
      </w:r>
      <w:r w:rsidR="0027165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чтобы узнать как влияет переизбыток минеральных удобрений на прорастание и рост семян провела дополнительный эксперимент: Заложила повторно опыт 1, только дозу аммиачной селитры и суперфосфата увеличила вдвое. В итоге получилось, что в чашке с водой через 6 дней проросли все семена овса, а в других чашках только несколько(= 20%). Большая концентрация удобрений привела к гибели части семян и замедленному росту растений.</w:t>
      </w:r>
    </w:p>
    <w:p w:rsidR="00DF195E" w:rsidRPr="00DF195E" w:rsidRDefault="00DF195E" w:rsidP="00DF195E">
      <w:p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Выводы:</w:t>
      </w:r>
    </w:p>
    <w:p w:rsidR="00DF195E" w:rsidRPr="00DF195E" w:rsidRDefault="00DF195E" w:rsidP="00DF19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В работе было исследовано и доказано влияние азотных и фосфорных удобрений на прорастание семян овса и рост растений. Прорастание и рост проростков идет быстрее под влиянием аммиачной селитры и суперфосфата.</w:t>
      </w:r>
    </w:p>
    <w:p w:rsidR="00DF195E" w:rsidRPr="00DF195E" w:rsidRDefault="00DF195E" w:rsidP="00DF19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Проведенные опыты подтвердили важную роль фосфора в жизни растений. Он входит в состав органических </w:t>
      </w:r>
      <w:proofErr w:type="spellStart"/>
      <w:r w:rsidRPr="00DF195E">
        <w:rPr>
          <w:rFonts w:ascii="Times New Roman" w:hAnsi="Times New Roman" w:cs="Times New Roman"/>
          <w:sz w:val="28"/>
          <w:szCs w:val="28"/>
        </w:rPr>
        <w:t>соединений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>оторые</w:t>
      </w:r>
      <w:proofErr w:type="spellEnd"/>
      <w:r w:rsidRPr="00DF195E">
        <w:rPr>
          <w:rFonts w:ascii="Times New Roman" w:hAnsi="Times New Roman" w:cs="Times New Roman"/>
          <w:sz w:val="28"/>
          <w:szCs w:val="28"/>
        </w:rPr>
        <w:t xml:space="preserve"> накапливают энергию в живой клетке, а это влияет на рост </w:t>
      </w:r>
      <w:proofErr w:type="spellStart"/>
      <w:r w:rsidRPr="00DF195E">
        <w:rPr>
          <w:rFonts w:ascii="Times New Roman" w:hAnsi="Times New Roman" w:cs="Times New Roman"/>
          <w:sz w:val="28"/>
          <w:szCs w:val="28"/>
        </w:rPr>
        <w:t>растений,их</w:t>
      </w:r>
      <w:proofErr w:type="spellEnd"/>
      <w:r w:rsidRPr="00DF195E">
        <w:rPr>
          <w:rFonts w:ascii="Times New Roman" w:hAnsi="Times New Roman" w:cs="Times New Roman"/>
          <w:sz w:val="28"/>
          <w:szCs w:val="28"/>
        </w:rPr>
        <w:t xml:space="preserve"> цветение и плодоношение.</w:t>
      </w:r>
    </w:p>
    <w:p w:rsidR="00DF195E" w:rsidRPr="00DF195E" w:rsidRDefault="00DF195E" w:rsidP="00DF19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 xml:space="preserve">Дополнительные исследования показали, что избыточное внесение минеральных удобрений приводит их к гибели семени на стадии прорастания, или к </w:t>
      </w:r>
      <w:proofErr w:type="spellStart"/>
      <w:r w:rsidRPr="00DF195E">
        <w:rPr>
          <w:rFonts w:ascii="Times New Roman" w:hAnsi="Times New Roman" w:cs="Times New Roman"/>
          <w:sz w:val="28"/>
          <w:szCs w:val="28"/>
        </w:rPr>
        <w:t>дальнешему</w:t>
      </w:r>
      <w:proofErr w:type="spellEnd"/>
      <w:r w:rsidRPr="00DF195E">
        <w:rPr>
          <w:rFonts w:ascii="Times New Roman" w:hAnsi="Times New Roman" w:cs="Times New Roman"/>
          <w:sz w:val="28"/>
          <w:szCs w:val="28"/>
        </w:rPr>
        <w:t xml:space="preserve"> накоплению нитратов в корнеплодах и плодах некоторых овощных культу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>моркови, свекле, арбузах, дынях, картофелях и т. Д., следовательно, удобрения нужно применять лишь в научно- обоснованных количествах. Большой избыток любого удобрения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пойдет не на пользу растениям, а через них и во вред человеку.</w:t>
      </w:r>
    </w:p>
    <w:p w:rsidR="00DF195E" w:rsidRPr="00DF195E" w:rsidRDefault="00DF195E" w:rsidP="00DC3B11">
      <w:pPr>
        <w:pStyle w:val="a3"/>
        <w:rPr>
          <w:rFonts w:ascii="Times New Roman" w:hAnsi="Times New Roman" w:cs="Times New Roman"/>
          <w:sz w:val="28"/>
          <w:szCs w:val="28"/>
        </w:rPr>
      </w:pPr>
      <w:r w:rsidRPr="00DC3B11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  <w:r w:rsidRPr="00DF195E">
        <w:rPr>
          <w:rFonts w:ascii="Times New Roman" w:hAnsi="Times New Roman" w:cs="Times New Roman"/>
          <w:sz w:val="28"/>
          <w:szCs w:val="28"/>
        </w:rPr>
        <w:t>: Во все времена задачей практической химии было укрощение вещества для блага человека. Существование человечества на рубеже тысячелетий немыслимо без химии и всего того широчайшего спектра продуктов, которые могут быть получены только при помощи химических технологий. Часто с химией связывают глобальное загрязнение окружающей среды  и в частности почвы, сопутствующее многим промышленным и сельскохозяйственным процессам, создание химического оружия и т. Д.</w:t>
      </w:r>
    </w:p>
    <w:p w:rsidR="00DF195E" w:rsidRPr="00DF195E" w:rsidRDefault="00DF195E" w:rsidP="00DF1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F195E">
        <w:rPr>
          <w:rFonts w:ascii="Times New Roman" w:hAnsi="Times New Roman" w:cs="Times New Roman"/>
          <w:sz w:val="28"/>
          <w:szCs w:val="28"/>
        </w:rPr>
        <w:t>Однако не стоит забывать, что химическое знание само по себе не может быть плохим или хорошим – оно только мощный инструмент, а результат работы зависит от того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 xml:space="preserve">,, 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>в чьих руках этот инструмент окажется. Поэтому в химии чрезвычайно важна личност</w:t>
      </w:r>
      <w:r w:rsidR="00DC3B11">
        <w:rPr>
          <w:rFonts w:ascii="Times New Roman" w:hAnsi="Times New Roman" w:cs="Times New Roman"/>
          <w:sz w:val="28"/>
          <w:szCs w:val="28"/>
        </w:rPr>
        <w:t xml:space="preserve">и </w:t>
      </w:r>
      <w:r w:rsidRPr="00DF195E">
        <w:rPr>
          <w:rFonts w:ascii="Times New Roman" w:hAnsi="Times New Roman" w:cs="Times New Roman"/>
          <w:sz w:val="28"/>
          <w:szCs w:val="28"/>
        </w:rPr>
        <w:t xml:space="preserve"> человека: заниматься химией должны только высокообразованные, глубок</w:t>
      </w:r>
      <w:proofErr w:type="gramStart"/>
      <w:r w:rsidRPr="00DF195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195E">
        <w:rPr>
          <w:rFonts w:ascii="Times New Roman" w:hAnsi="Times New Roman" w:cs="Times New Roman"/>
          <w:sz w:val="28"/>
          <w:szCs w:val="28"/>
        </w:rPr>
        <w:t xml:space="preserve"> порядочные и интеллектуально развитые профессионалы.</w:t>
      </w:r>
    </w:p>
    <w:p w:rsidR="00DF195E" w:rsidRPr="00DF195E" w:rsidRDefault="00DF195E" w:rsidP="00DF19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C7B" w:rsidRPr="00DF195E" w:rsidRDefault="00856C7B">
      <w:pPr>
        <w:rPr>
          <w:rFonts w:ascii="Times New Roman" w:hAnsi="Times New Roman" w:cs="Times New Roman"/>
          <w:sz w:val="28"/>
          <w:szCs w:val="28"/>
        </w:rPr>
      </w:pPr>
    </w:p>
    <w:sectPr w:rsidR="00856C7B" w:rsidRPr="00DF195E" w:rsidSect="00856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5104"/>
    <w:multiLevelType w:val="hybridMultilevel"/>
    <w:tmpl w:val="94BA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D4742"/>
    <w:multiLevelType w:val="hybridMultilevel"/>
    <w:tmpl w:val="D838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F195E"/>
    <w:rsid w:val="00271653"/>
    <w:rsid w:val="008234ED"/>
    <w:rsid w:val="00856C7B"/>
    <w:rsid w:val="00DA369A"/>
    <w:rsid w:val="00DC3B11"/>
    <w:rsid w:val="00DF195E"/>
    <w:rsid w:val="00E9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9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1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3.6680154564012885E-2"/>
          <c:y val="6.3898887639045318E-2"/>
          <c:w val="0.8202653834937299"/>
          <c:h val="0.856531058617673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 6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7</c:v>
                </c:pt>
                <c:pt idx="3">
                  <c:v>12</c:v>
                </c:pt>
                <c:pt idx="4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 6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11</c:v>
                </c:pt>
                <c:pt idx="3">
                  <c:v>14</c:v>
                </c:pt>
                <c:pt idx="4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 6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1">
                  <c:v>8</c:v>
                </c:pt>
                <c:pt idx="2">
                  <c:v>13</c:v>
                </c:pt>
                <c:pt idx="3">
                  <c:v>16</c:v>
                </c:pt>
                <c:pt idx="4">
                  <c:v>16</c:v>
                </c:pt>
              </c:numCache>
            </c:numRef>
          </c:val>
        </c:ser>
        <c:axId val="85875712"/>
        <c:axId val="85889792"/>
      </c:barChart>
      <c:catAx>
        <c:axId val="85875712"/>
        <c:scaling>
          <c:orientation val="minMax"/>
        </c:scaling>
        <c:axPos val="b"/>
        <c:majorTickMark val="none"/>
        <c:tickLblPos val="nextTo"/>
        <c:crossAx val="85889792"/>
        <c:crosses val="autoZero"/>
        <c:auto val="1"/>
        <c:lblAlgn val="ctr"/>
        <c:lblOffset val="100"/>
      </c:catAx>
      <c:valAx>
        <c:axId val="8588979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5875712"/>
        <c:crosses val="autoZero"/>
        <c:crossBetween val="between"/>
      </c:valAx>
    </c:plotArea>
    <c:legend>
      <c:legendPos val="tr"/>
      <c:txPr>
        <a:bodyPr/>
        <a:lstStyle/>
        <a:p>
          <a:pPr>
            <a:defRPr baseline="0"/>
          </a:pPr>
          <a:endParaRPr lang="ru-RU"/>
        </a:p>
      </c:txPr>
    </c:legend>
    <c:plotVisOnly val="1"/>
  </c:chart>
  <c:txPr>
    <a:bodyPr/>
    <a:lstStyle/>
    <a:p>
      <a:pPr>
        <a:defRPr sz="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Категория6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0.5</c:v>
                </c:pt>
                <c:pt idx="1">
                  <c:v>2</c:v>
                </c:pt>
                <c:pt idx="2">
                  <c:v>3.5</c:v>
                </c:pt>
                <c:pt idx="3">
                  <c:v>5</c:v>
                </c:pt>
                <c:pt idx="4">
                  <c:v>6.5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Категория6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2.5</c:v>
                </c:pt>
                <c:pt idx="2">
                  <c:v>4</c:v>
                </c:pt>
                <c:pt idx="3">
                  <c:v>5.5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 2</c:v>
                </c:pt>
                <c:pt idx="1">
                  <c:v>Категория 3</c:v>
                </c:pt>
                <c:pt idx="2">
                  <c:v>Категория 4</c:v>
                </c:pt>
                <c:pt idx="3">
                  <c:v>Категория 5</c:v>
                </c:pt>
                <c:pt idx="4">
                  <c:v>Категория6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1.5</c:v>
                </c:pt>
                <c:pt idx="1">
                  <c:v>3</c:v>
                </c:pt>
                <c:pt idx="2">
                  <c:v>4.5</c:v>
                </c:pt>
                <c:pt idx="3">
                  <c:v>6</c:v>
                </c:pt>
                <c:pt idx="4">
                  <c:v>7.5</c:v>
                </c:pt>
              </c:numCache>
            </c:numRef>
          </c:val>
        </c:ser>
        <c:axId val="97932416"/>
        <c:axId val="97934720"/>
      </c:barChart>
      <c:catAx>
        <c:axId val="97932416"/>
        <c:scaling>
          <c:orientation val="minMax"/>
        </c:scaling>
        <c:axPos val="b"/>
        <c:tickLblPos val="nextTo"/>
        <c:crossAx val="97934720"/>
        <c:crosses val="autoZero"/>
        <c:auto val="1"/>
        <c:lblAlgn val="ctr"/>
        <c:lblOffset val="100"/>
      </c:catAx>
      <c:valAx>
        <c:axId val="97934720"/>
        <c:scaling>
          <c:orientation val="minMax"/>
        </c:scaling>
        <c:axPos val="l"/>
        <c:majorGridlines/>
        <c:numFmt formatCode="General" sourceLinked="1"/>
        <c:tickLblPos val="nextTo"/>
        <c:crossAx val="979324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Категория1 </c:v>
                </c:pt>
                <c:pt idx="1">
                  <c:v>Категория 3</c:v>
                </c:pt>
                <c:pt idx="2">
                  <c:v>Категория 5</c:v>
                </c:pt>
                <c:pt idx="3">
                  <c:v>Категория 7</c:v>
                </c:pt>
                <c:pt idx="4">
                  <c:v>Категория 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Категория1 </c:v>
                </c:pt>
                <c:pt idx="1">
                  <c:v>Категория 3</c:v>
                </c:pt>
                <c:pt idx="2">
                  <c:v>Категория 5</c:v>
                </c:pt>
                <c:pt idx="3">
                  <c:v>Категория 7</c:v>
                </c:pt>
                <c:pt idx="4">
                  <c:v>Категория 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Категория1 </c:v>
                </c:pt>
                <c:pt idx="1">
                  <c:v>Категория 3</c:v>
                </c:pt>
                <c:pt idx="2">
                  <c:v>Категория 5</c:v>
                </c:pt>
                <c:pt idx="3">
                  <c:v>Категория 7</c:v>
                </c:pt>
                <c:pt idx="4">
                  <c:v>Категория 9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axId val="129543168"/>
        <c:axId val="145597568"/>
      </c:barChart>
      <c:catAx>
        <c:axId val="129543168"/>
        <c:scaling>
          <c:orientation val="minMax"/>
        </c:scaling>
        <c:axPos val="b"/>
        <c:tickLblPos val="nextTo"/>
        <c:crossAx val="145597568"/>
        <c:crosses val="autoZero"/>
        <c:auto val="1"/>
        <c:lblAlgn val="ctr"/>
        <c:lblOffset val="100"/>
      </c:catAx>
      <c:valAx>
        <c:axId val="145597568"/>
        <c:scaling>
          <c:orientation val="minMax"/>
        </c:scaling>
        <c:axPos val="l"/>
        <c:majorGridlines/>
        <c:numFmt formatCode="General" sourceLinked="1"/>
        <c:tickLblPos val="nextTo"/>
        <c:crossAx val="1295431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2022-02-02T06:31:00Z</dcterms:created>
  <dcterms:modified xsi:type="dcterms:W3CDTF">2022-02-02T08:19:00Z</dcterms:modified>
</cp:coreProperties>
</file>