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B9B" w:rsidRPr="00070B9B" w:rsidRDefault="00070B9B" w:rsidP="0079689F">
      <w:pPr>
        <w:pStyle w:val="2"/>
      </w:pPr>
    </w:p>
    <w:p w:rsidR="00515FCC" w:rsidRPr="00070B9B" w:rsidRDefault="00515FCC" w:rsidP="00515FCC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t>МИНИСТЕРСТВО ПРОМЫШЛЕННОСТИ И ТОРГОВЛИ</w:t>
      </w:r>
    </w:p>
    <w:p w:rsidR="00515FCC" w:rsidRPr="00070B9B" w:rsidRDefault="00515FCC" w:rsidP="00515FCC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t>ТВЕРСКОЙ ОБЛАСТИ</w:t>
      </w:r>
    </w:p>
    <w:p w:rsidR="00515FCC" w:rsidRPr="00070B9B" w:rsidRDefault="00515FCC" w:rsidP="00515F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профессиональное образовательное учреждение </w:t>
      </w:r>
    </w:p>
    <w:p w:rsidR="00515FCC" w:rsidRPr="00070B9B" w:rsidRDefault="00515FCC" w:rsidP="00515F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070B9B">
        <w:rPr>
          <w:rFonts w:ascii="Times New Roman" w:hAnsi="Times New Roman" w:cs="Times New Roman"/>
          <w:b/>
          <w:sz w:val="28"/>
          <w:szCs w:val="28"/>
        </w:rPr>
        <w:t>Вышневолоцкий</w:t>
      </w:r>
      <w:proofErr w:type="spellEnd"/>
      <w:r w:rsidRPr="00070B9B">
        <w:rPr>
          <w:rFonts w:ascii="Times New Roman" w:hAnsi="Times New Roman" w:cs="Times New Roman"/>
          <w:b/>
          <w:sz w:val="28"/>
          <w:szCs w:val="28"/>
        </w:rPr>
        <w:t xml:space="preserve"> колледж»</w:t>
      </w:r>
    </w:p>
    <w:p w:rsidR="00515FCC" w:rsidRPr="00070B9B" w:rsidRDefault="00515FCC" w:rsidP="00515FCC">
      <w:pPr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515FCC">
      <w:pPr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515FCC">
      <w:pPr>
        <w:rPr>
          <w:rFonts w:ascii="Times New Roman" w:hAnsi="Times New Roman" w:cs="Times New Roman"/>
          <w:sz w:val="28"/>
          <w:szCs w:val="28"/>
        </w:rPr>
      </w:pPr>
    </w:p>
    <w:p w:rsidR="00070B9B" w:rsidRPr="00070B9B" w:rsidRDefault="00070B9B" w:rsidP="00515FCC">
      <w:pPr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515FCC">
      <w:pPr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515F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t xml:space="preserve">ИНДИВИДУАЛЬНЫЙ ИССЛЕДОВАТЕЛЬСКИЙ ПРОЕКТ (ИССЛЕДОВАТЕЛЬСКАЯ РАБОТА) </w:t>
      </w:r>
    </w:p>
    <w:p w:rsidR="00515FCC" w:rsidRPr="0079689F" w:rsidRDefault="00515FCC" w:rsidP="007968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eastAsia="Times New Roman" w:hAnsi="Times New Roman" w:cs="Times New Roman"/>
          <w:sz w:val="28"/>
          <w:szCs w:val="28"/>
        </w:rPr>
        <w:t>На тему:</w:t>
      </w:r>
      <w:r w:rsidRPr="00070B9B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070B9B">
        <w:rPr>
          <w:rFonts w:ascii="Times New Roman" w:hAnsi="Times New Roman" w:cs="Times New Roman"/>
          <w:b/>
          <w:sz w:val="28"/>
          <w:szCs w:val="28"/>
        </w:rPr>
        <w:t>ЛЕСОПАТОЛОГИЧЕСКОЕ СОСТОЯНИЕ ХВОЙНЫХ НАСАЖДЕНИЙ В ВЫШНЕВОЛОЦКОМ РАЙОНЕ ТВЕРСКОЙ ОБЛАСТИ</w:t>
      </w:r>
      <w:r w:rsidR="00EA4E92" w:rsidRPr="00070B9B">
        <w:rPr>
          <w:rFonts w:ascii="Times New Roman" w:hAnsi="Times New Roman" w:cs="Times New Roman"/>
          <w:b/>
          <w:sz w:val="28"/>
          <w:szCs w:val="28"/>
        </w:rPr>
        <w:t>».</w:t>
      </w:r>
    </w:p>
    <w:p w:rsidR="00515FCC" w:rsidRPr="00070B9B" w:rsidRDefault="00515FCC" w:rsidP="00515F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5FCC" w:rsidRPr="00070B9B" w:rsidRDefault="00515FCC" w:rsidP="00515FCC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515FCC" w:rsidRPr="00070B9B" w:rsidRDefault="00515FCC" w:rsidP="00515FCC">
      <w:pPr>
        <w:rPr>
          <w:rFonts w:ascii="Times New Roman" w:hAnsi="Times New Roman" w:cs="Times New Roman"/>
          <w:sz w:val="28"/>
          <w:szCs w:val="28"/>
        </w:rPr>
      </w:pPr>
    </w:p>
    <w:p w:rsidR="00070B9B" w:rsidRPr="00070B9B" w:rsidRDefault="00070B9B" w:rsidP="00515FCC">
      <w:pPr>
        <w:rPr>
          <w:rFonts w:ascii="Times New Roman" w:hAnsi="Times New Roman" w:cs="Times New Roman"/>
          <w:sz w:val="28"/>
          <w:szCs w:val="28"/>
        </w:rPr>
      </w:pPr>
    </w:p>
    <w:p w:rsidR="000E669B" w:rsidRDefault="000E669B" w:rsidP="00515F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669B" w:rsidRDefault="000E669B" w:rsidP="00515F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669B" w:rsidRDefault="000E669B" w:rsidP="00515F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669B" w:rsidRDefault="000E669B" w:rsidP="00515F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669B" w:rsidRDefault="000E669B" w:rsidP="00515F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515FCC">
      <w:pPr>
        <w:jc w:val="center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г. Вышний Волочек</w:t>
      </w:r>
    </w:p>
    <w:p w:rsidR="00515FCC" w:rsidRDefault="009E5ADD" w:rsidP="00070B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bookmarkStart w:id="0" w:name="_GoBack"/>
      <w:bookmarkEnd w:id="0"/>
    </w:p>
    <w:p w:rsidR="00070B9B" w:rsidRDefault="00070B9B" w:rsidP="00070B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0B9B" w:rsidRPr="00070B9B" w:rsidRDefault="00070B9B" w:rsidP="00070B9B">
      <w:pPr>
        <w:rPr>
          <w:rFonts w:ascii="Times New Roman" w:eastAsia="Times New Roman" w:hAnsi="Times New Roman" w:cs="Times New Roman"/>
          <w:sz w:val="28"/>
          <w:szCs w:val="28"/>
        </w:rPr>
        <w:sectPr w:rsidR="00070B9B" w:rsidRPr="00070B9B">
          <w:pgSz w:w="11900" w:h="16838"/>
          <w:pgMar w:top="700" w:right="666" w:bottom="1440" w:left="1440" w:header="0" w:footer="0" w:gutter="0"/>
          <w:cols w:space="720" w:equalWidth="0">
            <w:col w:w="9800"/>
          </w:cols>
        </w:sectPr>
      </w:pPr>
    </w:p>
    <w:p w:rsidR="00515FCC" w:rsidRPr="00070B9B" w:rsidRDefault="00515FCC" w:rsidP="00070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="00070B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0B9B">
        <w:rPr>
          <w:rFonts w:ascii="Times New Roman" w:hAnsi="Times New Roman" w:cs="Times New Roman"/>
          <w:sz w:val="28"/>
          <w:szCs w:val="28"/>
        </w:rPr>
        <w:t xml:space="preserve">В данной статье был проведен лесопатологический мониторинг в лесах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Вышневолоцкого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лесничества, Тверской области. В ходе проведения обследования были выявлены очаги вредителей и болезней леса, и назначены санитарно – оздоровительные мероприятия. 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Ключевые слова: лесопатологический мониторинг, очаги вредителей и болезней леса, санитарно – оздоровительные мероприятия, сухостой, бурелом. 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15FCC" w:rsidRPr="00070B9B" w:rsidRDefault="00070B9B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Место исследования: Лесопатологическое обследование проводилось в 2019 году на территории </w:t>
      </w:r>
      <w:proofErr w:type="spellStart"/>
      <w:r w:rsidRPr="00070B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Осеченского</w:t>
      </w:r>
      <w:proofErr w:type="spellEnd"/>
      <w:r w:rsidR="00070B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070B9B">
        <w:rPr>
          <w:rFonts w:ascii="Times New Roman" w:hAnsi="Times New Roman" w:cs="Times New Roman"/>
          <w:sz w:val="28"/>
          <w:szCs w:val="28"/>
        </w:rPr>
        <w:t xml:space="preserve">участкового лесничества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Вышневолоцкого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района. Основные породы, составляющие древостой: ель обыкновенная, сосна обыкновенная, береза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повислая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, осина обыкновенная [4]. В ходе исследования, было обследовано 12 кварталов с общей площадью </w:t>
      </w:r>
      <w:r w:rsidRPr="00070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33619,8</w:t>
      </w:r>
      <w:r w:rsidRPr="00070B9B">
        <w:rPr>
          <w:rFonts w:ascii="Times New Roman" w:hAnsi="Times New Roman" w:cs="Times New Roman"/>
          <w:sz w:val="28"/>
          <w:szCs w:val="28"/>
        </w:rPr>
        <w:t xml:space="preserve"> гектар. Объем работ указан в рисунке 1.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Spacing w:w="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5"/>
        <w:gridCol w:w="1675"/>
        <w:gridCol w:w="4979"/>
      </w:tblGrid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Преобладающая порода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Площадь, тыс. га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38425" cy="2819400"/>
                  <wp:effectExtent l="0" t="0" r="9525" b="0"/>
                  <wp:docPr id="1" name="Рисунок 1" descr="https://xn--80aaccp4ajwpkgbl4lpb.xn--p1ai/tverskaya-oblast/kharakteristika-territorii/lesnye-resursy-tverskoy-oblasti/2-diagr2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xn--80aaccp4ajwpkgbl4lpb.xn--p1ai/tverskaya-oblast/kharakteristika-territorii/lesnye-resursy-tverskoy-oblasti/2-diagr2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Хвойные,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1879,6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829,1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1050,3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Лиственница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Твердолиственные,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Дуб низкоствольный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Ясень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Мягколиственные</w:t>
            </w:r>
            <w:proofErr w:type="spellEnd"/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2532,0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Береза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1600,0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Осина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456,0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Ольха серая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406,1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Ольха черная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54,7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Липа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Ивы древовидные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5FCC" w:rsidRPr="00070B9B" w:rsidTr="00CF3E57">
        <w:trPr>
          <w:tblCellSpacing w:w="3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0B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4412,2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5FCC" w:rsidRPr="00070B9B" w:rsidRDefault="00515FCC" w:rsidP="00070B9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70B9B" w:rsidRDefault="00070B9B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 Еловые насаждения представлены приспевающими и спелыми древостоями. Преобладают спелые насаждения. На их долю приходится 80 % от всех обследованных нами еловых насаждений, в то время как приспевающие насаждения занимают лишь 20 % исследованной площади. Преобладает черничный тип леса. В еловом насаждении представлены классы бонитета с I по III. В целом древостой является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высокобонитетным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. Еловый древостой является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высокополнотным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7006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Обследованное еловое насаждение является ослабленным.</w:t>
      </w:r>
    </w:p>
    <w:p w:rsidR="00787006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В нем преобладают сильно ослабленные и усыхающие деревья. Так как были обнаружены следующие признаки состояния деревьев: желтоватая хвоя, слабый прирост, усыхание более 2/3 ветвей, заселение стволовыми вредителями, и наличие плодовых тел [2]. 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lastRenderedPageBreak/>
        <w:t xml:space="preserve">На обследованной территории встречается старый и свежий сухостой, так же присутствует большая доля старого бурелома и ветровала, что положительно сказывается на увеличении числа стволовых вредителей [8]. 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070B9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32071" cy="2715905"/>
            <wp:effectExtent l="19050" t="0" r="25779" b="824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15FCC" w:rsidRPr="00070B9B" w:rsidRDefault="00515FCC" w:rsidP="00070B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Рисунок 1 – Распределение запаса елового насаждения по категориям состояния деревьев</w:t>
      </w:r>
    </w:p>
    <w:p w:rsidR="00515FCC" w:rsidRPr="00070B9B" w:rsidRDefault="00515FCC" w:rsidP="00070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Высота елового насаждения варьируется от 21 до 23 м., среднее значение данного показателя составляет 22,0 ± 0,4 м. Диаметр ели колеблется в интервале от 20 до 24 см., среднее значение показателя 21,5 ± 1,3 см. Пробных площадей – 13. Сосновый древостой полностью представлен приспевающими насаждениями. Преобладает черничный тип леса. В сосновом насаждении представлены классы бонитета с I по III (рис. 4). В целом древостой является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высокобонитетным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. Преобладает II класс, на его долю приходится 53 % обследованных сосновых насаждений, в то время как I класс бонитета, встречается лишь в 21 % случаев. Сосновый древостой является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высокополнотным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. В целом в обследованном сосновом насаждении наблюдается неблагоприятное санитарное состояние (рис. 2). В нем преобладают ослабленные деревья [1]. В сосновом древостое были обнаружены следующие признаки состояния деревьев: желтоватая хвоя, слабый прирост, усыхание более 2/3 ветвей, заселение стволовыми вредителями, и наличие плодовых тел [9]. На обследованной территории </w:t>
      </w:r>
      <w:r w:rsidRPr="00070B9B">
        <w:rPr>
          <w:rFonts w:ascii="Times New Roman" w:hAnsi="Times New Roman" w:cs="Times New Roman"/>
          <w:sz w:val="28"/>
          <w:szCs w:val="28"/>
        </w:rPr>
        <w:lastRenderedPageBreak/>
        <w:t xml:space="preserve">заметную долю составляет старый сухостой, так же присутствует большая доля старого бурелома, что положительно сказывается на увеличении числа стволовых вредителей. </w:t>
      </w:r>
    </w:p>
    <w:p w:rsidR="00070B9B" w:rsidRDefault="00070B9B" w:rsidP="00070B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Проценты, % Категории состояния деревьев 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25220" cy="2688609"/>
            <wp:effectExtent l="19050" t="0" r="2303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15FCC" w:rsidRPr="00070B9B" w:rsidRDefault="00070B9B" w:rsidP="00070B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Рисунок 2 – Распределение запаса соснового насаждения по категориям группам возраста</w:t>
      </w:r>
    </w:p>
    <w:p w:rsid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Высота соснового насаждения варьируется от 21 до 23 м., среднее значение данного показателя составляет 21,9 ± 0,7 м. Диаметр сосны колеблется в интервале от 22 до 24 см., среднее значение показателя 23,1 ± 1,0 см. Пробных площадей – 13. Березовый древостой полностью представлен перестойными насаждениями. Преобладает черничный тип лес. В березовом насаждении представлены классы бонитета с I по III. В целом древостой является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высокобонитетным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>. Преобладает II класс, на его долю приходится 46 % обследованных березовых насаждений, в то время как I класс бонитета, встречается лишь в 23 % случаев. Березовый древ</w:t>
      </w:r>
      <w:r w:rsidR="00070B9B">
        <w:rPr>
          <w:rFonts w:ascii="Times New Roman" w:hAnsi="Times New Roman" w:cs="Times New Roman"/>
          <w:sz w:val="28"/>
          <w:szCs w:val="28"/>
        </w:rPr>
        <w:t xml:space="preserve">остой является </w:t>
      </w:r>
      <w:proofErr w:type="spellStart"/>
      <w:r w:rsidR="00070B9B">
        <w:rPr>
          <w:rFonts w:ascii="Times New Roman" w:hAnsi="Times New Roman" w:cs="Times New Roman"/>
          <w:sz w:val="28"/>
          <w:szCs w:val="28"/>
        </w:rPr>
        <w:t>среднеполнотным</w:t>
      </w:r>
      <w:proofErr w:type="spellEnd"/>
      <w:r w:rsidR="00070B9B">
        <w:rPr>
          <w:rFonts w:ascii="Times New Roman" w:hAnsi="Times New Roman" w:cs="Times New Roman"/>
          <w:sz w:val="28"/>
          <w:szCs w:val="28"/>
        </w:rPr>
        <w:t>.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 В березовом древостое преобладает процент деревьев без признаков ослабления. На это указывают следующие признаки: кроны деревьев были густые с зеленой листвой, стволы и корневые лапы не имели внешних признаков повреждения. В то же время в насаждении значительная доля </w:t>
      </w:r>
      <w:r w:rsidRPr="00070B9B">
        <w:rPr>
          <w:rFonts w:ascii="Times New Roman" w:hAnsi="Times New Roman" w:cs="Times New Roman"/>
          <w:sz w:val="28"/>
          <w:szCs w:val="28"/>
        </w:rPr>
        <w:lastRenderedPageBreak/>
        <w:t xml:space="preserve">ослабленных, усыхающих деревьев и старого бурелома, что негативно сказывается на санитарном состоянии древостоя. На обследованной территории отсутствует свежий и старый сухостой (рис. 3). 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9077" cy="2852382"/>
            <wp:effectExtent l="19050" t="0" r="23523" b="5118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15FCC" w:rsidRPr="00070B9B" w:rsidRDefault="00515FCC" w:rsidP="00070B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Рисунок 3 – Распределение запаса березового насаждения по категориям группы возраста деревьев.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 Высота березового насаждения варьируется от 18 до 22 м., среднее значение данного показателя составляет 20,9 ± 0,4 м. Диаметр березы колеблется в интервале от 20 до 24 см., среднее значение показателя 22,1 ± 0,8 см. Пробных площадей – 13.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 Результаты исследований. На территории обследованных лесных участков выявлены очаги вредителей и болезней леса.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Таблица №1 Очаги вредителей и болезней леса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19"/>
        <w:gridCol w:w="1753"/>
        <w:gridCol w:w="1969"/>
        <w:gridCol w:w="1767"/>
        <w:gridCol w:w="2137"/>
      </w:tblGrid>
      <w:tr w:rsidR="00515FCC" w:rsidRPr="00070B9B" w:rsidTr="00070B9B"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Выдел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Вид вредителя (возбудителя болезней)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Площадь очага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Характеристика очага</w:t>
            </w:r>
          </w:p>
        </w:tc>
      </w:tr>
      <w:tr w:rsidR="00515FCC" w:rsidRPr="00070B9B" w:rsidTr="00070B9B"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Корневая губка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14,0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Хронический очаг</w:t>
            </w:r>
          </w:p>
        </w:tc>
      </w:tr>
      <w:tr w:rsidR="00515FCC" w:rsidRPr="00070B9B" w:rsidTr="00070B9B"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Еловая губка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Хронический очаг</w:t>
            </w:r>
          </w:p>
        </w:tc>
      </w:tr>
      <w:tr w:rsidR="00515FCC" w:rsidRPr="00070B9B" w:rsidTr="00070B9B"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Еловая губка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Хронический очаг</w:t>
            </w:r>
          </w:p>
        </w:tc>
      </w:tr>
      <w:tr w:rsidR="00515FCC" w:rsidRPr="00070B9B" w:rsidTr="00070B9B"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Еловая губка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9,0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Хронический очаг</w:t>
            </w:r>
          </w:p>
        </w:tc>
      </w:tr>
      <w:tr w:rsidR="00515FCC" w:rsidRPr="00070B9B" w:rsidTr="00070B9B"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Бактериальная водянка березы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Хронический очаг</w:t>
            </w:r>
          </w:p>
        </w:tc>
      </w:tr>
      <w:tr w:rsidR="00515FCC" w:rsidRPr="00070B9B" w:rsidTr="00070B9B">
        <w:tc>
          <w:tcPr>
            <w:tcW w:w="1869" w:type="dxa"/>
            <w:vMerge w:val="restart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69" w:type="dxa"/>
            <w:vMerge w:val="restart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2/0, 2/2</w:t>
            </w:r>
          </w:p>
        </w:tc>
        <w:tc>
          <w:tcPr>
            <w:tcW w:w="5607" w:type="dxa"/>
            <w:gridSpan w:val="3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Северо-западная  часть</w:t>
            </w:r>
          </w:p>
        </w:tc>
      </w:tr>
      <w:tr w:rsidR="00515FCC" w:rsidRPr="00070B9B" w:rsidTr="00070B9B"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Сосновая губка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Хронический очаг</w:t>
            </w:r>
          </w:p>
        </w:tc>
      </w:tr>
      <w:tr w:rsidR="00515FCC" w:rsidRPr="00070B9B" w:rsidTr="00070B9B"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gridSpan w:val="3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Центральная и южная часть</w:t>
            </w:r>
          </w:p>
        </w:tc>
      </w:tr>
      <w:tr w:rsidR="00515FCC" w:rsidRPr="00070B9B" w:rsidTr="00070B9B"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Большой сосновый  лубоед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6,6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Эпизодический очаг</w:t>
            </w:r>
          </w:p>
        </w:tc>
      </w:tr>
      <w:tr w:rsidR="00515FCC" w:rsidRPr="00070B9B" w:rsidTr="00070B9B"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FCC" w:rsidRPr="00070B9B" w:rsidTr="00070B9B"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gridSpan w:val="3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Восточная часть</w:t>
            </w:r>
          </w:p>
        </w:tc>
      </w:tr>
      <w:tr w:rsidR="00515FCC" w:rsidRPr="00070B9B" w:rsidTr="00070B9B"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  <w:vMerge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Большой сосновый  лубоед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  <w:tc>
          <w:tcPr>
            <w:tcW w:w="1869" w:type="dxa"/>
          </w:tcPr>
          <w:p w:rsidR="00515FCC" w:rsidRPr="00070B9B" w:rsidRDefault="00515FCC" w:rsidP="00070B9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B9B">
              <w:rPr>
                <w:rFonts w:ascii="Times New Roman" w:hAnsi="Times New Roman" w:cs="Times New Roman"/>
                <w:sz w:val="28"/>
                <w:szCs w:val="28"/>
              </w:rPr>
              <w:t>Эпизодический очаг</w:t>
            </w:r>
          </w:p>
        </w:tc>
      </w:tr>
    </w:tbl>
    <w:p w:rsidR="00070B9B" w:rsidRDefault="00070B9B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В хвойном насаждении было обнаружено 7 очагов вредителей и болезней леса, на общей площади 21,2 гектара. Наибольшую площадь поражения имеют хронические очаги еловой губки – 10 гектар [5]. Наименьшую долю в зараженном насаждении составляет сосновая губка, всего лишь 3,3 гектара. Так же было выявлено два эпизодических очага стволовых вредителей сосны, общей площадью 12,8 гектар. В лиственном насаждении был обнаружен лишь один хронический очаг бактериальной водянки березы, площадью – 12 гектар. Так же в лиственном древостое отсутствуют очаги стволовых вредителей.</w:t>
      </w:r>
    </w:p>
    <w:p w:rsidR="00070B9B" w:rsidRDefault="00070B9B" w:rsidP="00070B9B">
      <w:pPr>
        <w:tabs>
          <w:tab w:val="left" w:pos="73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0B9B" w:rsidRDefault="00070B9B" w:rsidP="00070B9B">
      <w:pPr>
        <w:tabs>
          <w:tab w:val="left" w:pos="73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0B9B" w:rsidRDefault="00070B9B" w:rsidP="00070B9B">
      <w:pPr>
        <w:tabs>
          <w:tab w:val="left" w:pos="73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0B9B" w:rsidRDefault="00070B9B" w:rsidP="00070B9B">
      <w:pPr>
        <w:tabs>
          <w:tab w:val="left" w:pos="73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0B9B" w:rsidRDefault="00515FCC" w:rsidP="00070B9B">
      <w:pPr>
        <w:tabs>
          <w:tab w:val="left" w:pos="73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t>Вывод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В целом площадь очагов хвойного насаждения в несколько раз больше, по сравнению с лиственным древостоем. Плотность популяций остальных видов вредителей и возбудителей болезней лесных пород, являющихся причинами ослабления (гибели) и повреждения насаждений, находится на фоновом уровне. В целях улучшения санитарного состояния лесных насаждений, уменьшения угрозы распространения вредителей и болезней леса, обеспечения выполнения лесными насаждениями своих целевых функций, а также для снижения экономического ущерба от воздействия неблагоприятных факторов, в обследованных лесных участках требуется проведение санитарно – оздоровительных мероприятий [10,11]. </w:t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br w:type="page"/>
      </w:r>
    </w:p>
    <w:p w:rsidR="00515FCC" w:rsidRPr="00070B9B" w:rsidRDefault="00515FCC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Использованные источники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Болезни и вредители в лесах России. Справочник: в 3 т., т. 1. / Болезни древесны</w:t>
      </w:r>
      <w:r w:rsidR="00DB501A">
        <w:rPr>
          <w:rFonts w:ascii="Times New Roman" w:hAnsi="Times New Roman" w:cs="Times New Roman"/>
          <w:sz w:val="28"/>
          <w:szCs w:val="28"/>
        </w:rPr>
        <w:t>х растений. – М.: Рослесхоз, 2018</w:t>
      </w:r>
      <w:r w:rsidRPr="00070B9B">
        <w:rPr>
          <w:rFonts w:ascii="Times New Roman" w:hAnsi="Times New Roman" w:cs="Times New Roman"/>
          <w:sz w:val="28"/>
          <w:szCs w:val="28"/>
        </w:rPr>
        <w:t>. – 120 с.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Болезни и вредители в лесах России. Справочник: в 3 т., т. 2. /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Жукиксилофаги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– вредители древесных</w:t>
      </w:r>
      <w:r w:rsidR="00DB501A">
        <w:rPr>
          <w:rFonts w:ascii="Times New Roman" w:hAnsi="Times New Roman" w:cs="Times New Roman"/>
          <w:sz w:val="28"/>
          <w:szCs w:val="28"/>
        </w:rPr>
        <w:t xml:space="preserve"> растений. – М.: Рослесхоз, 2019</w:t>
      </w:r>
      <w:r w:rsidRPr="00070B9B">
        <w:rPr>
          <w:rFonts w:ascii="Times New Roman" w:hAnsi="Times New Roman" w:cs="Times New Roman"/>
          <w:sz w:val="28"/>
          <w:szCs w:val="28"/>
        </w:rPr>
        <w:t>. – 116 с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Болезни и вредители в лесах России. Справочник: в 3 т., т. 3. /Методы мониторинга вредителей и боле</w:t>
      </w:r>
      <w:r w:rsidR="00DB501A">
        <w:rPr>
          <w:rFonts w:ascii="Times New Roman" w:hAnsi="Times New Roman" w:cs="Times New Roman"/>
          <w:sz w:val="28"/>
          <w:szCs w:val="28"/>
        </w:rPr>
        <w:t>зней леса. – М.: Рослесхоз, 2019</w:t>
      </w:r>
      <w:r w:rsidRPr="00070B9B">
        <w:rPr>
          <w:rFonts w:ascii="Times New Roman" w:hAnsi="Times New Roman" w:cs="Times New Roman"/>
          <w:sz w:val="28"/>
          <w:szCs w:val="28"/>
        </w:rPr>
        <w:t xml:space="preserve">. – 200 с. 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Лесохозяйственый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регламент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Осеченского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лесничества на территории Тверской области.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Кобец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Е.В. Рекомендации по защите лесов от корневой губки в лесах Европейской части России.</w:t>
      </w:r>
      <w:r w:rsidR="00DB501A">
        <w:rPr>
          <w:rFonts w:ascii="Times New Roman" w:hAnsi="Times New Roman" w:cs="Times New Roman"/>
          <w:sz w:val="28"/>
          <w:szCs w:val="28"/>
        </w:rPr>
        <w:t xml:space="preserve"> – Пушкино: МПР РФ, ВНИИЛМ, 2018</w:t>
      </w:r>
      <w:r w:rsidRPr="00070B9B">
        <w:rPr>
          <w:rFonts w:ascii="Times New Roman" w:hAnsi="Times New Roman" w:cs="Times New Roman"/>
          <w:sz w:val="28"/>
          <w:szCs w:val="28"/>
        </w:rPr>
        <w:t>. – 9 с.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Комплексные меры защиты ельников европейской части России по подавлению вспышки массового размножения ко</w:t>
      </w:r>
      <w:r w:rsidR="00DB501A">
        <w:rPr>
          <w:rFonts w:ascii="Times New Roman" w:hAnsi="Times New Roman" w:cs="Times New Roman"/>
          <w:sz w:val="28"/>
          <w:szCs w:val="28"/>
        </w:rPr>
        <w:t>роеда-типографа. – Пушкино, 2019</w:t>
      </w:r>
      <w:r w:rsidRPr="00070B9B">
        <w:rPr>
          <w:rFonts w:ascii="Times New Roman" w:hAnsi="Times New Roman" w:cs="Times New Roman"/>
          <w:sz w:val="28"/>
          <w:szCs w:val="28"/>
        </w:rPr>
        <w:t>. – 76 с.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Маслов А.Д. Наставления по защите лесных культур и молодняков от вредных насекомых и болезней. Федеральная служба лесного хозяйства России / Ведерников Н.М., Лисов Н.А. и др. – М.: Федеральная служб</w:t>
      </w:r>
      <w:r w:rsidR="00DB501A">
        <w:rPr>
          <w:rFonts w:ascii="Times New Roman" w:hAnsi="Times New Roman" w:cs="Times New Roman"/>
          <w:sz w:val="28"/>
          <w:szCs w:val="28"/>
        </w:rPr>
        <w:t>а лесного хозяйства России, 2019</w:t>
      </w:r>
      <w:r w:rsidRPr="00070B9B">
        <w:rPr>
          <w:rFonts w:ascii="Times New Roman" w:hAnsi="Times New Roman" w:cs="Times New Roman"/>
          <w:sz w:val="28"/>
          <w:szCs w:val="28"/>
        </w:rPr>
        <w:t>. – 108 с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>Методические рекомендации по надзору, учету и прогнозу массовых размножений стволовых вредителей и санитарного состояния лес</w:t>
      </w:r>
      <w:r w:rsidR="00DB501A">
        <w:rPr>
          <w:rFonts w:ascii="Times New Roman" w:hAnsi="Times New Roman" w:cs="Times New Roman"/>
          <w:sz w:val="28"/>
          <w:szCs w:val="28"/>
        </w:rPr>
        <w:t>ов. – Пушкино, МПР, ВНИИЛМ, 2019</w:t>
      </w:r>
      <w:r w:rsidRPr="00070B9B">
        <w:rPr>
          <w:rFonts w:ascii="Times New Roman" w:hAnsi="Times New Roman" w:cs="Times New Roman"/>
          <w:sz w:val="28"/>
          <w:szCs w:val="28"/>
        </w:rPr>
        <w:t xml:space="preserve">. – 108 с. 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Мозолевская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Е.Г. Методы лесопатологического обследования лесов СССР / Катаев</w:t>
      </w:r>
      <w:r w:rsidR="00DB501A">
        <w:rPr>
          <w:rFonts w:ascii="Times New Roman" w:hAnsi="Times New Roman" w:cs="Times New Roman"/>
          <w:sz w:val="28"/>
          <w:szCs w:val="28"/>
        </w:rPr>
        <w:t xml:space="preserve"> О.А., Соколова Э.С. – М. – 2018</w:t>
      </w:r>
      <w:r w:rsidRPr="00070B9B">
        <w:rPr>
          <w:rFonts w:ascii="Times New Roman" w:hAnsi="Times New Roman" w:cs="Times New Roman"/>
          <w:sz w:val="28"/>
          <w:szCs w:val="28"/>
        </w:rPr>
        <w:t>. – 152 с.</w:t>
      </w:r>
    </w:p>
    <w:p w:rsid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Ильинский А.И. Надзор, учёт и прогноз массовых размножений хвое –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листогрызущих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насекомых в леса</w:t>
      </w:r>
      <w:r w:rsidR="00DB501A">
        <w:rPr>
          <w:rFonts w:ascii="Times New Roman" w:hAnsi="Times New Roman" w:cs="Times New Roman"/>
          <w:sz w:val="28"/>
          <w:szCs w:val="28"/>
        </w:rPr>
        <w:t>х СССР / Тропин И.В. – М. – 2019</w:t>
      </w:r>
      <w:r w:rsidRPr="00070B9B">
        <w:rPr>
          <w:rFonts w:ascii="Times New Roman" w:hAnsi="Times New Roman" w:cs="Times New Roman"/>
          <w:sz w:val="28"/>
          <w:szCs w:val="28"/>
        </w:rPr>
        <w:t xml:space="preserve">. – 525 с. </w:t>
      </w:r>
    </w:p>
    <w:p w:rsidR="005E1F70" w:rsidRPr="00070B9B" w:rsidRDefault="00515FCC" w:rsidP="00070B9B">
      <w:pPr>
        <w:pStyle w:val="a6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70B9B">
        <w:rPr>
          <w:rFonts w:ascii="Times New Roman" w:hAnsi="Times New Roman" w:cs="Times New Roman"/>
          <w:sz w:val="28"/>
          <w:szCs w:val="28"/>
        </w:rPr>
        <w:t xml:space="preserve">Наставления по надзору, учету и прогнозу хвое – </w:t>
      </w:r>
      <w:proofErr w:type="spellStart"/>
      <w:r w:rsidRPr="00070B9B">
        <w:rPr>
          <w:rFonts w:ascii="Times New Roman" w:hAnsi="Times New Roman" w:cs="Times New Roman"/>
          <w:sz w:val="28"/>
          <w:szCs w:val="28"/>
        </w:rPr>
        <w:t>листогрызущих</w:t>
      </w:r>
      <w:proofErr w:type="spellEnd"/>
      <w:r w:rsidRPr="00070B9B">
        <w:rPr>
          <w:rFonts w:ascii="Times New Roman" w:hAnsi="Times New Roman" w:cs="Times New Roman"/>
          <w:sz w:val="28"/>
          <w:szCs w:val="28"/>
        </w:rPr>
        <w:t xml:space="preserve"> насекомых в европейской части РС</w:t>
      </w:r>
      <w:r w:rsidR="00DB501A">
        <w:rPr>
          <w:rFonts w:ascii="Times New Roman" w:hAnsi="Times New Roman" w:cs="Times New Roman"/>
          <w:sz w:val="28"/>
          <w:szCs w:val="28"/>
        </w:rPr>
        <w:t xml:space="preserve">ФСР. – М.: </w:t>
      </w:r>
      <w:proofErr w:type="spellStart"/>
      <w:r w:rsidR="00DB501A">
        <w:rPr>
          <w:rFonts w:ascii="Times New Roman" w:hAnsi="Times New Roman" w:cs="Times New Roman"/>
          <w:sz w:val="28"/>
          <w:szCs w:val="28"/>
        </w:rPr>
        <w:t>Минлесхоз</w:t>
      </w:r>
      <w:proofErr w:type="spellEnd"/>
      <w:r w:rsidR="00DB501A">
        <w:rPr>
          <w:rFonts w:ascii="Times New Roman" w:hAnsi="Times New Roman" w:cs="Times New Roman"/>
          <w:sz w:val="28"/>
          <w:szCs w:val="28"/>
        </w:rPr>
        <w:t xml:space="preserve"> РСФСР, 2018</w:t>
      </w:r>
      <w:r w:rsidRPr="00070B9B">
        <w:rPr>
          <w:rFonts w:ascii="Times New Roman" w:hAnsi="Times New Roman" w:cs="Times New Roman"/>
          <w:sz w:val="28"/>
          <w:szCs w:val="28"/>
        </w:rPr>
        <w:t>. –</w:t>
      </w:r>
    </w:p>
    <w:p w:rsidR="00070B9B" w:rsidRPr="00070B9B" w:rsidRDefault="00070B9B" w:rsidP="00070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0B9B" w:rsidRPr="00070B9B" w:rsidSect="00260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7E44B3"/>
    <w:multiLevelType w:val="hybridMultilevel"/>
    <w:tmpl w:val="A34E6626"/>
    <w:lvl w:ilvl="0" w:tplc="04190011">
      <w:start w:val="1"/>
      <w:numFmt w:val="decimal"/>
      <w:lvlText w:val="%1)"/>
      <w:lvlJc w:val="left"/>
      <w:pPr>
        <w:ind w:left="4471" w:hanging="360"/>
      </w:pPr>
    </w:lvl>
    <w:lvl w:ilvl="1" w:tplc="04190019" w:tentative="1">
      <w:start w:val="1"/>
      <w:numFmt w:val="lowerLetter"/>
      <w:lvlText w:val="%2."/>
      <w:lvlJc w:val="left"/>
      <w:pPr>
        <w:ind w:left="5191" w:hanging="360"/>
      </w:pPr>
    </w:lvl>
    <w:lvl w:ilvl="2" w:tplc="0419001B" w:tentative="1">
      <w:start w:val="1"/>
      <w:numFmt w:val="lowerRoman"/>
      <w:lvlText w:val="%3."/>
      <w:lvlJc w:val="right"/>
      <w:pPr>
        <w:ind w:left="5911" w:hanging="180"/>
      </w:pPr>
    </w:lvl>
    <w:lvl w:ilvl="3" w:tplc="0419000F" w:tentative="1">
      <w:start w:val="1"/>
      <w:numFmt w:val="decimal"/>
      <w:lvlText w:val="%4."/>
      <w:lvlJc w:val="left"/>
      <w:pPr>
        <w:ind w:left="6631" w:hanging="360"/>
      </w:pPr>
    </w:lvl>
    <w:lvl w:ilvl="4" w:tplc="04190019" w:tentative="1">
      <w:start w:val="1"/>
      <w:numFmt w:val="lowerLetter"/>
      <w:lvlText w:val="%5."/>
      <w:lvlJc w:val="left"/>
      <w:pPr>
        <w:ind w:left="7351" w:hanging="360"/>
      </w:pPr>
    </w:lvl>
    <w:lvl w:ilvl="5" w:tplc="0419001B" w:tentative="1">
      <w:start w:val="1"/>
      <w:numFmt w:val="lowerRoman"/>
      <w:lvlText w:val="%6."/>
      <w:lvlJc w:val="right"/>
      <w:pPr>
        <w:ind w:left="8071" w:hanging="180"/>
      </w:pPr>
    </w:lvl>
    <w:lvl w:ilvl="6" w:tplc="0419000F" w:tentative="1">
      <w:start w:val="1"/>
      <w:numFmt w:val="decimal"/>
      <w:lvlText w:val="%7."/>
      <w:lvlJc w:val="left"/>
      <w:pPr>
        <w:ind w:left="8791" w:hanging="360"/>
      </w:pPr>
    </w:lvl>
    <w:lvl w:ilvl="7" w:tplc="04190019" w:tentative="1">
      <w:start w:val="1"/>
      <w:numFmt w:val="lowerLetter"/>
      <w:lvlText w:val="%8."/>
      <w:lvlJc w:val="left"/>
      <w:pPr>
        <w:ind w:left="9511" w:hanging="360"/>
      </w:pPr>
    </w:lvl>
    <w:lvl w:ilvl="8" w:tplc="0419001B" w:tentative="1">
      <w:start w:val="1"/>
      <w:numFmt w:val="lowerRoman"/>
      <w:lvlText w:val="%9."/>
      <w:lvlJc w:val="right"/>
      <w:pPr>
        <w:ind w:left="102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83E"/>
    <w:rsid w:val="00070B9B"/>
    <w:rsid w:val="000E669B"/>
    <w:rsid w:val="00260977"/>
    <w:rsid w:val="00515FCC"/>
    <w:rsid w:val="005E1F70"/>
    <w:rsid w:val="006B083E"/>
    <w:rsid w:val="007669C3"/>
    <w:rsid w:val="00787006"/>
    <w:rsid w:val="0079689F"/>
    <w:rsid w:val="008218DF"/>
    <w:rsid w:val="009E5ADD"/>
    <w:rsid w:val="00DB501A"/>
    <w:rsid w:val="00EA4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EEE598-4460-481D-B8F3-978C6A7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FCC"/>
  </w:style>
  <w:style w:type="paragraph" w:styleId="2">
    <w:name w:val="heading 2"/>
    <w:basedOn w:val="a"/>
    <w:next w:val="a"/>
    <w:link w:val="20"/>
    <w:uiPriority w:val="9"/>
    <w:unhideWhenUsed/>
    <w:qFormat/>
    <w:rsid w:val="007968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5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0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B9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70B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9689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Распределения сосновой хозяйственной секции по группам возраста на 2020 год.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распределения сосновой хозяйственной секции по группам возраста на 2008 год.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молодняки</c:v>
                </c:pt>
                <c:pt idx="1">
                  <c:v>средневозрастные</c:v>
                </c:pt>
                <c:pt idx="2">
                  <c:v>приспевающие</c:v>
                </c:pt>
                <c:pt idx="3">
                  <c:v>спелые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3900</c:v>
                </c:pt>
                <c:pt idx="1">
                  <c:v>4222</c:v>
                </c:pt>
                <c:pt idx="2">
                  <c:v>4697</c:v>
                </c:pt>
                <c:pt idx="3">
                  <c:v>3237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84-4F23-8E37-782A278AAB8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72060310136247463"/>
          <c:y val="0.44990081808290106"/>
          <c:w val="0.26585196812995193"/>
          <c:h val="0.47216210066201336"/>
        </c:manualLayout>
      </c:layout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Распределения сосновой хозяйственной секции по группам возраста на 2020 год.</a:t>
            </a:r>
          </a:p>
        </c:rich>
      </c:tx>
      <c:layout>
        <c:manualLayout>
          <c:xMode val="edge"/>
          <c:yMode val="edge"/>
          <c:x val="0.16056471159471625"/>
          <c:y val="0.10864354020982599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распределения сосновой хозяйственной секции по группам возраста на 2008 год.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молодняки</c:v>
                </c:pt>
                <c:pt idx="1">
                  <c:v>средневозрастные</c:v>
                </c:pt>
                <c:pt idx="2">
                  <c:v>приспевающие</c:v>
                </c:pt>
                <c:pt idx="3">
                  <c:v>спелые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3900</c:v>
                </c:pt>
                <c:pt idx="1">
                  <c:v>4222</c:v>
                </c:pt>
                <c:pt idx="2">
                  <c:v>4697</c:v>
                </c:pt>
                <c:pt idx="3">
                  <c:v>3237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447-4966-A685-2210D8EA8D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7205236785653166"/>
          <c:y val="0.50612491440741292"/>
          <c:w val="0.31278411691428465"/>
          <c:h val="0.44086440237312308"/>
        </c:manualLayout>
      </c:layout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Распределения березовой хозяйственной секции по группам возраста в 2020 году.</a:t>
            </a: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1918116716891869E-2"/>
          <c:y val="0.44956679919960557"/>
          <c:w val="0.66323272090988661"/>
          <c:h val="0.4371700319638266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распределения березовой хозяйственной секции по группам возраста в 2008 году.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4"/>
                <c:pt idx="0">
                  <c:v>молодняки</c:v>
                </c:pt>
                <c:pt idx="1">
                  <c:v>средневозрастные</c:v>
                </c:pt>
                <c:pt idx="2">
                  <c:v>приспевающие</c:v>
                </c:pt>
                <c:pt idx="3">
                  <c:v>спелые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3565</c:v>
                </c:pt>
                <c:pt idx="1">
                  <c:v>4197</c:v>
                </c:pt>
                <c:pt idx="2">
                  <c:v>1964</c:v>
                </c:pt>
                <c:pt idx="3">
                  <c:v>5983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AE5-407F-B8F9-2EFBBAEE18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4"/>
        <c:delete val="1"/>
      </c:legendEntry>
      <c:layout>
        <c:manualLayout>
          <c:xMode val="edge"/>
          <c:yMode val="edge"/>
          <c:x val="0.6772550733633067"/>
          <c:y val="0.45685220282556832"/>
          <c:w val="0.30898812202827314"/>
          <c:h val="0.4467185671484396"/>
        </c:manualLayout>
      </c:layout>
      <c:overlay val="0"/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</cp:lastModifiedBy>
  <cp:revision>4</cp:revision>
  <dcterms:created xsi:type="dcterms:W3CDTF">2022-01-26T06:24:00Z</dcterms:created>
  <dcterms:modified xsi:type="dcterms:W3CDTF">2022-01-26T06:27:00Z</dcterms:modified>
</cp:coreProperties>
</file>