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jc w:val="center"/>
        <w:rPr>
          <w:rFonts w:ascii="Times New Roman CYR" w:hAnsi="Times New Roman CYR"/>
          <w:b w:val="1"/>
          <w:sz w:val="18"/>
        </w:rPr>
      </w:pPr>
    </w:p>
    <w:p w14:paraId="02000000">
      <w:pPr>
        <w:ind/>
        <w:jc w:val="center"/>
        <w:rPr>
          <w:rFonts w:ascii="Times New Roman CYR" w:hAnsi="Times New Roman CYR"/>
          <w:b w:val="1"/>
          <w:sz w:val="18"/>
        </w:rPr>
      </w:pPr>
    </w:p>
    <w:p w14:paraId="03000000">
      <w:pPr>
        <w:ind/>
        <w:jc w:val="center"/>
        <w:rPr>
          <w:rFonts w:ascii="Times New Roman CYR" w:hAnsi="Times New Roman CYR"/>
          <w:b w:val="1"/>
          <w:sz w:val="18"/>
        </w:rPr>
      </w:pPr>
    </w:p>
    <w:p w14:paraId="04000000">
      <w:pPr>
        <w:ind/>
        <w:jc w:val="center"/>
        <w:rPr>
          <w:rFonts w:ascii="Times New Roman CYR" w:hAnsi="Times New Roman CYR"/>
          <w:b w:val="1"/>
          <w:sz w:val="18"/>
        </w:rPr>
      </w:pPr>
    </w:p>
    <w:p w14:paraId="05000000">
      <w:pPr>
        <w:ind/>
        <w:jc w:val="center"/>
        <w:rPr>
          <w:rFonts w:ascii="Times New Roman CYR" w:hAnsi="Times New Roman CYR"/>
          <w:b w:val="1"/>
          <w:sz w:val="18"/>
        </w:rPr>
      </w:pPr>
      <w:r>
        <w:rPr>
          <w:rFonts w:ascii="Times New Roman CYR" w:hAnsi="Times New Roman CYR"/>
          <w:b w:val="1"/>
          <w:sz w:val="18"/>
        </w:rPr>
        <w:t>МУНИЦИПАЛЬНОЕ БЮДЖЕТНОЕ ДОШКОЛЬНОЕ  ОБРАЗОВАТЕЛЬНОЕ  УЧРЕЖДЕНИЕ</w:t>
      </w:r>
    </w:p>
    <w:p w14:paraId="06000000">
      <w:pPr>
        <w:ind/>
        <w:jc w:val="center"/>
        <w:rPr>
          <w:rFonts w:ascii="Times New Roman CYR" w:hAnsi="Times New Roman CYR"/>
          <w:b w:val="1"/>
          <w:sz w:val="18"/>
        </w:rPr>
      </w:pPr>
      <w:r>
        <w:rPr>
          <w:rFonts w:ascii="Times New Roman CYR" w:hAnsi="Times New Roman CYR"/>
          <w:b w:val="1"/>
          <w:sz w:val="18"/>
        </w:rPr>
        <w:t>«ДЕТСКИЙ  САД КОМБИНИРОВАННОГО ВИДА «БРУСНИЧКА» г. ТАРКО-САЛЕ ПУРОВСКОГО РАЙОНА</w:t>
      </w:r>
    </w:p>
    <w:p w14:paraId="07000000">
      <w:pPr>
        <w:ind/>
        <w:jc w:val="center"/>
        <w:rPr>
          <w:rFonts w:ascii="Times New Roman CYR" w:hAnsi="Times New Roman CYR"/>
          <w:b w:val="1"/>
          <w:sz w:val="18"/>
        </w:rPr>
      </w:pPr>
      <w:r>
        <w:rPr>
          <w:rFonts w:ascii="Times New Roman CYR" w:hAnsi="Times New Roman CYR"/>
          <w:b w:val="1"/>
          <w:sz w:val="18"/>
        </w:rPr>
        <w:t>629850 ЯНАО, Пуровский район, г. Тарко-Сале, ул. Сеноманская 4, тел. 2-54-05, 6-32-58</w:t>
      </w:r>
    </w:p>
    <w:p w14:paraId="08000000">
      <w:pPr>
        <w:ind/>
        <w:jc w:val="center"/>
        <w:rPr>
          <w:rFonts w:ascii="Times New Roman CYR" w:hAnsi="Times New Roman CYR"/>
          <w:b w:val="1"/>
          <w:sz w:val="18"/>
        </w:rPr>
      </w:pPr>
      <w:r>
        <w:rPr>
          <w:rFonts w:ascii="Times New Roman CYR" w:hAnsi="Times New Roman CYR"/>
          <w:b w:val="1"/>
          <w:sz w:val="18"/>
        </w:rPr>
        <w:t>ИНН 8911016680, КПП 891101001, ОКПО 48731581, ОКОНХ 92400</w:t>
      </w:r>
    </w:p>
    <w:p w14:paraId="09000000">
      <w:pPr>
        <w:ind/>
        <w:jc w:val="center"/>
      </w:pPr>
      <w:r>
        <w:rPr>
          <w:rFonts w:ascii="Times New Roman CYR" w:hAnsi="Times New Roman CYR"/>
          <w:b w:val="1"/>
          <w:sz w:val="18"/>
        </w:rPr>
        <w:t>-</w:t>
      </w:r>
      <w:r>
        <w:rPr>
          <w:rFonts w:ascii="Times New Roman CYR" w:hAnsi="Times New Roman CYR"/>
          <w:b w:val="1"/>
          <w:sz w:val="18"/>
        </w:rPr>
        <w:t>E</w:t>
      </w:r>
      <w:r>
        <w:rPr>
          <w:rFonts w:ascii="Times New Roman CYR" w:hAnsi="Times New Roman CYR"/>
          <w:b w:val="1"/>
          <w:sz w:val="18"/>
        </w:rPr>
        <w:t>-</w:t>
      </w:r>
      <w:r>
        <w:rPr>
          <w:rFonts w:ascii="Times New Roman CYR" w:hAnsi="Times New Roman CYR"/>
          <w:b w:val="1"/>
          <w:sz w:val="18"/>
        </w:rPr>
        <w:t>mail</w:t>
      </w:r>
      <w:r>
        <w:rPr>
          <w:rFonts w:ascii="Times New Roman CYR" w:hAnsi="Times New Roman CYR"/>
          <w:b w:val="1"/>
          <w:sz w:val="18"/>
        </w:rPr>
        <w:t>:</w:t>
      </w:r>
      <w:r>
        <w:rPr>
          <w:rFonts w:ascii="Times New Roman CYR" w:hAnsi="Times New Roman CYR"/>
          <w:b w:val="1"/>
          <w:sz w:val="18"/>
        </w:rPr>
        <w:t>brusnichka</w:t>
      </w:r>
      <w:r>
        <w:rPr>
          <w:rFonts w:ascii="Times New Roman CYR" w:hAnsi="Times New Roman CYR"/>
          <w:b w:val="1"/>
          <w:sz w:val="18"/>
        </w:rPr>
        <w:t>-</w:t>
      </w:r>
      <w:r>
        <w:rPr>
          <w:rFonts w:ascii="Times New Roman CYR" w:hAnsi="Times New Roman CYR"/>
          <w:b w:val="1"/>
          <w:sz w:val="18"/>
        </w:rPr>
        <w:t>tsale</w:t>
      </w:r>
      <w:r>
        <w:rPr>
          <w:rFonts w:ascii="Times New Roman CYR" w:hAnsi="Times New Roman CYR"/>
          <w:b w:val="1"/>
          <w:sz w:val="18"/>
        </w:rPr>
        <w:t xml:space="preserve"> @ </w:t>
      </w:r>
      <w:r>
        <w:rPr>
          <w:rFonts w:ascii="Times New Roman CYR" w:hAnsi="Times New Roman CYR"/>
          <w:b w:val="1"/>
          <w:sz w:val="18"/>
        </w:rPr>
        <w:t>yandex</w:t>
      </w:r>
      <w:r>
        <w:rPr>
          <w:rFonts w:ascii="Times New Roman CYR" w:hAnsi="Times New Roman CYR"/>
          <w:b w:val="1"/>
          <w:sz w:val="18"/>
        </w:rPr>
        <w:t>.</w:t>
      </w:r>
      <w:r>
        <w:rPr>
          <w:rFonts w:ascii="Times New Roman CYR" w:hAnsi="Times New Roman CYR"/>
          <w:b w:val="1"/>
          <w:sz w:val="18"/>
        </w:rPr>
        <w:t>ru</w:t>
      </w:r>
      <w:r>
        <w:rPr>
          <w:rFonts w:ascii="Times New Roman CYR" w:hAnsi="Times New Roman CYR"/>
          <w:b w:val="1"/>
          <w:sz w:val="18"/>
        </w:rPr>
        <w:t>.</w:t>
      </w:r>
    </w:p>
    <w:p w14:paraId="0A000000">
      <w:pPr>
        <w:rPr>
          <w:rFonts w:ascii="Times New Roman CYR" w:hAnsi="Times New Roman CYR"/>
          <w:b w:val="1"/>
        </w:rPr>
      </w:pPr>
    </w:p>
    <w:p w14:paraId="0B000000">
      <w:pPr>
        <w:pStyle w:val="Style_1"/>
        <w:rPr>
          <w:sz w:val="28"/>
        </w:rPr>
      </w:pPr>
    </w:p>
    <w:p w14:paraId="0C000000">
      <w:pPr>
        <w:pStyle w:val="Style_1"/>
        <w:rPr>
          <w:sz w:val="28"/>
        </w:rPr>
      </w:pPr>
    </w:p>
    <w:p w14:paraId="0D000000"/>
    <w:p w14:paraId="0E000000"/>
    <w:p w14:paraId="0F000000"/>
    <w:p w14:paraId="10000000"/>
    <w:p w14:paraId="11000000"/>
    <w:p w14:paraId="12000000">
      <w:pPr>
        <w:ind/>
        <w:jc w:val="center"/>
      </w:pPr>
    </w:p>
    <w:p w14:paraId="13000000">
      <w:pPr>
        <w:pStyle w:val="Style_1"/>
        <w:spacing w:line="276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Образовательный проект для детей с тяжелыми нарушениями речи </w:t>
      </w:r>
    </w:p>
    <w:p w14:paraId="14000000">
      <w:pPr>
        <w:pStyle w:val="Style_1"/>
        <w:spacing w:line="276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"ЛОГО – рисовалки".</w:t>
      </w:r>
    </w:p>
    <w:p w14:paraId="15000000">
      <w:pPr>
        <w:pStyle w:val="Style_1"/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6000000">
      <w:pPr>
        <w:pStyle w:val="Style_1"/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7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8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9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A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B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C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D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E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1F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0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1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2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3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4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5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6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7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8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9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2A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tbl>
      <w:tblPr>
        <w:tblInd w:type="dxa" w:w="-226"/>
        <w:tblLayout w:type="fixed"/>
      </w:tblPr>
      <w:tblGrid>
        <w:gridCol w:w="6541"/>
      </w:tblGrid>
      <w:tr>
        <w:trPr>
          <w:trHeight w:hRule="atLeast" w:val="1112"/>
        </w:trPr>
        <w:tc>
          <w:tcPr>
            <w:tcW w:type="dxa" w:w="6541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18"/>
              <w:bottom w:type="dxa" w:w="0"/>
              <w:right w:type="dxa" w:w="108"/>
            </w:tcMar>
          </w:tcPr>
          <w:p w14:paraId="2B000000">
            <w:pPr>
              <w:spacing w:line="276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 реализации проекта</w:t>
            </w:r>
          </w:p>
          <w:p w14:paraId="2C000000">
            <w:pPr>
              <w:spacing w:line="276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декабрь – май 2021 – 2022 г. </w:t>
            </w:r>
          </w:p>
          <w:p w14:paraId="2D000000">
            <w:pPr>
              <w:spacing w:line="276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2E000000">
            <w:pPr>
              <w:spacing w:line="276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Автор  учитель – логопед А.С. Варава</w:t>
            </w:r>
          </w:p>
        </w:tc>
      </w:tr>
    </w:tbl>
    <w:p w14:paraId="2F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30000000">
      <w:pPr>
        <w:spacing w:line="276" w:lineRule="auto"/>
        <w:ind/>
        <w:jc w:val="both"/>
        <w:rPr>
          <w:rFonts w:ascii="Times New Roman" w:hAnsi="Times New Roman"/>
          <w:sz w:val="28"/>
        </w:rPr>
      </w:pPr>
    </w:p>
    <w:p w14:paraId="31000000">
      <w:pPr>
        <w:keepNext w:val="1"/>
        <w:keepLines w:val="1"/>
        <w:spacing w:before="0" w:line="276" w:lineRule="auto"/>
        <w:ind/>
        <w:jc w:val="center"/>
        <w:outlineLvl w:val="2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Введение.</w:t>
      </w:r>
    </w:p>
    <w:p w14:paraId="32000000">
      <w:pPr>
        <w:keepNext w:val="1"/>
        <w:keepLines w:val="1"/>
        <w:spacing w:before="0" w:line="276" w:lineRule="auto"/>
        <w:ind/>
        <w:jc w:val="center"/>
        <w:outlineLvl w:val="2"/>
        <w:rPr>
          <w:rFonts w:ascii="Times New Roman" w:hAnsi="Times New Roman"/>
          <w:sz w:val="28"/>
        </w:rPr>
      </w:pPr>
    </w:p>
    <w:p w14:paraId="33000000">
      <w:pPr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Проблема речевого развития в современном дошкольном образовании является одной из наиболее важных. Для ее решения в дошкольных образовательных учреждениях создаются психолого – педагогические консилиумы, группы компенсирующей и комбинированной направленности, а также логопедические пункты. </w:t>
      </w:r>
    </w:p>
    <w:p w14:paraId="34000000">
      <w:pPr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работе с детьми с тяжелыми нарушениями речи важно уделять внимание развитию всех компонентов речи, а именно: лексике, грамматическому строю, фонематическому слуху и правильному звукопроизношению. Работая на протяжении уже 4 лет учителем – логопедом в группе компенсирующей направленности №1, для детей с тяжелыми нарушениями речи, я обратила внимание на следующую закономерность в речевом развитии своих воспитанников – автоматизация поставленных звуков зачастую проходит очень долго (до полугода). Со временем задания начинают детям надоедать и их интерес к занятиям угасает, что несомненно отрицательно сказывается на коррекционном процессе.</w:t>
      </w:r>
    </w:p>
    <w:p w14:paraId="35000000">
      <w:pPr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Цель проекта:</w:t>
      </w:r>
      <w:r>
        <w:rPr>
          <w:rFonts w:ascii="Times New Roman" w:hAnsi="Times New Roman"/>
          <w:sz w:val="28"/>
        </w:rPr>
        <w:t xml:space="preserve"> создание условий для качественного и быстрого усвоения полученного навыка правильного произношения звука.</w:t>
      </w:r>
    </w:p>
    <w:p w14:paraId="36000000">
      <w:pPr>
        <w:spacing w:line="276" w:lineRule="auto"/>
        <w:ind w:firstLine="567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Задачи:</w:t>
      </w:r>
    </w:p>
    <w:p w14:paraId="37000000">
      <w:pPr>
        <w:numPr>
          <w:numId w:val="1"/>
        </w:numPr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стимулирование у детей желания взаимодействовать с педагогами;</w:t>
      </w:r>
    </w:p>
    <w:p w14:paraId="38000000">
      <w:pPr>
        <w:numPr>
          <w:numId w:val="1"/>
        </w:numPr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графомоторных навыков;</w:t>
      </w:r>
    </w:p>
    <w:p w14:paraId="39000000">
      <w:pPr>
        <w:numPr>
          <w:numId w:val="1"/>
        </w:numPr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умение переключаться внимания, памяти;</w:t>
      </w:r>
    </w:p>
    <w:p w14:paraId="3A000000">
      <w:pPr>
        <w:numPr>
          <w:numId w:val="1"/>
        </w:numPr>
        <w:spacing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у детей предпосылок к чтению.</w:t>
      </w:r>
    </w:p>
    <w:p w14:paraId="3B000000">
      <w:pPr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b w:val="1"/>
          <w:sz w:val="28"/>
        </w:rPr>
        <w:t>Гипотеза</w:t>
      </w:r>
      <w:r>
        <w:rPr>
          <w:sz w:val="28"/>
        </w:rPr>
        <w:t xml:space="preserve"> проекта основывается на предположении, что </w:t>
      </w:r>
      <w:r>
        <w:rPr>
          <w:rFonts w:ascii="Times New Roman" w:hAnsi="Times New Roman"/>
          <w:sz w:val="28"/>
        </w:rPr>
        <w:t xml:space="preserve">творческие игры позволят заинтересовать детей и положительно скажутся на динамики коррекции и развития речи. </w:t>
      </w:r>
    </w:p>
    <w:p w14:paraId="3C000000">
      <w:pPr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того чтобы автоматизация поставленных звуков проходила быстро, качественно и интересно для детей я разработала ряд игр которые назвала "ЛОГО – рисовалки". Это творческие игры которые дети рисуют сами или совместно с учителем – логопедом. </w:t>
      </w:r>
      <w:r>
        <w:rPr>
          <w:rFonts w:ascii="Times New Roman" w:hAnsi="Times New Roman"/>
          <w:sz w:val="28"/>
        </w:rPr>
        <w:t xml:space="preserve">Игры идут от простых к сложным. </w:t>
      </w:r>
    </w:p>
    <w:p w14:paraId="3D000000">
      <w:pPr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Первая игры – "кнопочки" самая простая. Ее цель автоматизация изолированного звука в речи. Дети рисуют кружки карандашами или фломастерами, а после заполняют их буквами. Эти кружки условно называют кнопочками. Ребенку необходимо нажать на все кнопочки и назвать нарисованную букву. </w:t>
      </w:r>
    </w:p>
    <w:p w14:paraId="3E000000">
      <w:pPr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Вторая игра – "здороваемся с буками" более сложная. </w:t>
      </w:r>
      <w:r>
        <w:rPr>
          <w:rFonts w:ascii="Times New Roman" w:hAnsi="Times New Roman"/>
          <w:sz w:val="28"/>
        </w:rPr>
        <w:t xml:space="preserve">Ее цель автоматизация звука в слогах. </w:t>
      </w:r>
      <w:r>
        <w:rPr>
          <w:rFonts w:ascii="Times New Roman" w:hAnsi="Times New Roman"/>
          <w:sz w:val="28"/>
        </w:rPr>
        <w:t xml:space="preserve">Педагог вместе с детьми рисует ряды гласных букв (А, О, У, Ы), а далее ряды в которых гласных находятся в случайном порядке (например А О О У А А). Логопед объясняет ребенку что с каждой из букв нужно поздороваться. За каждой из гласных при этом закреплен определенный жест (А – кулак, О – ладонь, У – ребро, Ы – "зайка".  Для лучшего понимания приведу пример. При автоматизации звука [Ш] проходя по первой дорожке ребенок нажимает кулаком на каждую букву А и говорит – ША, при прохождении второй дорожки ребенок наживает на каждую букву О ладонью и говорит – ШО и т.д. Очень важным является четкое произношение звука в слоге и правильно подобранный жест. </w:t>
      </w:r>
    </w:p>
    <w:p w14:paraId="3F000000">
      <w:pPr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Третья игра – "тропинка". </w:t>
      </w:r>
      <w:r>
        <w:rPr>
          <w:rFonts w:ascii="Times New Roman" w:hAnsi="Times New Roman"/>
          <w:sz w:val="28"/>
        </w:rPr>
        <w:t xml:space="preserve">Ее цель автоматизация звука в словах. Здесь дети рисуют и вырезают разные картинки с изображением автоматизируемого звука. Картинки ярко раскрашиваются и располагаются на ватмане. </w:t>
      </w:r>
    </w:p>
    <w:p w14:paraId="40000000">
      <w:pPr>
        <w:pStyle w:val="Style_1"/>
        <w:ind w:firstLine="706" w:left="0"/>
        <w:jc w:val="both"/>
      </w:pPr>
      <w:r>
        <w:rPr>
          <w:b w:val="1"/>
          <w:sz w:val="28"/>
        </w:rPr>
        <w:t>Участники проекта</w:t>
      </w:r>
      <w:r>
        <w:rPr>
          <w:sz w:val="28"/>
        </w:rPr>
        <w:t xml:space="preserve"> - дети </w:t>
      </w:r>
      <w:r>
        <w:rPr>
          <w:sz w:val="28"/>
        </w:rPr>
        <w:t xml:space="preserve">дошкольного возраста </w:t>
      </w:r>
      <w:r>
        <w:rPr>
          <w:sz w:val="28"/>
        </w:rPr>
        <w:t>с общим недоразвитие речи – 1, 2 и 3 уровня,  учитель – логопед.</w:t>
      </w:r>
    </w:p>
    <w:p w14:paraId="41000000">
      <w:r>
        <w:rPr>
          <w:b w:val="1"/>
          <w:sz w:val="28"/>
        </w:rPr>
        <w:t xml:space="preserve">Срок реализации проекта: </w:t>
      </w:r>
      <w:r>
        <w:rPr>
          <w:b w:val="0"/>
          <w:sz w:val="28"/>
        </w:rPr>
        <w:t>декабрь – май 2021 – 2022 г.</w:t>
      </w:r>
    </w:p>
    <w:p w14:paraId="42000000"/>
    <w:p w14:paraId="43000000">
      <w:pPr>
        <w:ind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Примеры игр (видео - ролики) можно увидеть на моем сайте:</w:t>
      </w:r>
    </w:p>
    <w:p w14:paraId="44000000">
      <w:pPr>
        <w:ind/>
        <w:jc w:val="right"/>
        <w:rPr>
          <w:rFonts w:ascii="Times New Roman" w:hAnsi="Times New Roman"/>
          <w:b w:val="1"/>
          <w:sz w:val="28"/>
        </w:rPr>
      </w:pPr>
    </w:p>
    <w:p w14:paraId="45000000">
      <w:pPr>
        <w:ind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ЛОГО – кнопочки – </w:t>
      </w:r>
      <w:r>
        <w:rPr>
          <w:rStyle w:val="Style_2_ch"/>
        </w:rPr>
        <w:fldChar w:fldCharType="begin"/>
      </w:r>
      <w:r>
        <w:rPr>
          <w:rStyle w:val="Style_2_ch"/>
        </w:rPr>
        <w:instrText>HYPERLINK "https://nsportal.ru/video/2021/12/igra-logo-knopochki"</w:instrText>
      </w:r>
      <w:r>
        <w:rPr>
          <w:rStyle w:val="Style_2_ch"/>
        </w:rPr>
        <w:fldChar w:fldCharType="separate"/>
      </w:r>
      <w:r>
        <w:rPr>
          <w:rStyle w:val="Style_2_ch"/>
        </w:rPr>
        <w:t>https://nsportal.ru/video/2021/12/igra-logo-knopochki</w:t>
      </w:r>
      <w:r>
        <w:rPr>
          <w:rStyle w:val="Style_2_ch"/>
        </w:rPr>
        <w:fldChar w:fldCharType="end"/>
      </w:r>
    </w:p>
    <w:p w14:paraId="46000000">
      <w:pPr>
        <w:ind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Здороваемся с буками – </w:t>
      </w:r>
      <w:r>
        <w:rPr>
          <w:rStyle w:val="Style_2_ch"/>
        </w:rPr>
        <w:fldChar w:fldCharType="begin"/>
      </w:r>
      <w:r>
        <w:rPr>
          <w:rStyle w:val="Style_2_ch"/>
        </w:rPr>
        <w:instrText>HYPERLINK "https://nsportal.ru/video/2021/12/igra-zdorovaemsya-s-bukvami"</w:instrText>
      </w:r>
      <w:r>
        <w:rPr>
          <w:rStyle w:val="Style_2_ch"/>
        </w:rPr>
        <w:fldChar w:fldCharType="separate"/>
      </w:r>
      <w:r>
        <w:rPr>
          <w:rStyle w:val="Style_2_ch"/>
        </w:rPr>
        <w:t>https://nsportal.ru/video/2021/12/igra-zdorovaemsya-s-bukvami</w:t>
      </w:r>
      <w:r>
        <w:rPr>
          <w:rStyle w:val="Style_2_ch"/>
        </w:rPr>
        <w:fldChar w:fldCharType="end"/>
      </w:r>
    </w:p>
    <w:p w14:paraId="47000000">
      <w:pPr>
        <w:ind/>
        <w:jc w:val="right"/>
        <w:rPr>
          <w:rFonts w:ascii="Times New Roman" w:hAnsi="Times New Roman"/>
          <w:b w:val="1"/>
          <w:sz w:val="28"/>
        </w:rPr>
      </w:pPr>
    </w:p>
    <w:p w14:paraId="48000000">
      <w:pPr>
        <w:ind/>
        <w:jc w:val="right"/>
        <w:rPr>
          <w:rFonts w:ascii="Times New Roman" w:hAnsi="Times New Roman"/>
          <w:b w:val="1"/>
          <w:sz w:val="28"/>
        </w:rPr>
      </w:pPr>
    </w:p>
    <w:p w14:paraId="49000000"/>
    <w:p w14:paraId="4A000000"/>
    <w:p w14:paraId="4B000000"/>
    <w:p w14:paraId="4C000000"/>
    <w:p w14:paraId="4D000000"/>
    <w:sectPr/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3" w:type="paragraph">
    <w:name w:val="toc 2"/>
    <w:next w:val="Style_1"/>
    <w:link w:val="Style_3_ch"/>
    <w:uiPriority w:val="39"/>
    <w:pPr>
      <w:ind w:firstLine="0" w:left="200"/>
    </w:pPr>
  </w:style>
  <w:style w:styleId="Style_3_ch" w:type="character">
    <w:name w:val="toc 2"/>
    <w:link w:val="Style_3"/>
  </w:style>
  <w:style w:styleId="Style_4" w:type="paragraph">
    <w:name w:val="toc 4"/>
    <w:next w:val="Style_1"/>
    <w:link w:val="Style_4_ch"/>
    <w:uiPriority w:val="39"/>
    <w:pPr>
      <w:ind w:firstLine="0" w:left="600"/>
    </w:pPr>
  </w:style>
  <w:style w:styleId="Style_4_ch" w:type="character">
    <w:name w:val="toc 4"/>
    <w:link w:val="Style_4"/>
  </w:style>
  <w:style w:styleId="Style_5" w:type="paragraph">
    <w:name w:val="toc 6"/>
    <w:next w:val="Style_1"/>
    <w:link w:val="Style_5_ch"/>
    <w:uiPriority w:val="39"/>
    <w:pPr>
      <w:ind w:firstLine="0" w:left="1000"/>
    </w:pPr>
  </w:style>
  <w:style w:styleId="Style_5_ch" w:type="character">
    <w:name w:val="toc 6"/>
    <w:link w:val="Style_5"/>
  </w:style>
  <w:style w:styleId="Style_6" w:type="paragraph">
    <w:name w:val="toc 7"/>
    <w:next w:val="Style_1"/>
    <w:link w:val="Style_6_ch"/>
    <w:uiPriority w:val="39"/>
    <w:pPr>
      <w:ind w:firstLine="0" w:left="1200"/>
    </w:pPr>
  </w:style>
  <w:style w:styleId="Style_6_ch" w:type="character">
    <w:name w:val="toc 7"/>
    <w:link w:val="Style_6"/>
  </w:style>
  <w:style w:styleId="Style_7" w:type="paragraph">
    <w:name w:val="heading 3"/>
    <w:next w:val="Style_1"/>
    <w:link w:val="Style_7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7_ch" w:type="character">
    <w:name w:val="heading 3"/>
    <w:link w:val="Style_7"/>
    <w:rPr>
      <w:rFonts w:ascii="XO Thames" w:hAnsi="XO Thames"/>
      <w:b w:val="1"/>
      <w:i w:val="1"/>
      <w:color w:val="000000"/>
    </w:rPr>
  </w:style>
  <w:style w:styleId="Style_8" w:type="paragraph">
    <w:name w:val="toc 3"/>
    <w:next w:val="Style_1"/>
    <w:link w:val="Style_8_ch"/>
    <w:uiPriority w:val="39"/>
    <w:pPr>
      <w:ind w:firstLine="0" w:left="400"/>
    </w:pPr>
  </w:style>
  <w:style w:styleId="Style_8_ch" w:type="character">
    <w:name w:val="toc 3"/>
    <w:link w:val="Style_8"/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9_ch" w:type="character">
    <w:name w:val="heading 5"/>
    <w:link w:val="Style_9"/>
    <w:rPr>
      <w:rFonts w:ascii="XO Thames" w:hAnsi="XO Thames"/>
      <w:b w:val="1"/>
      <w:color w:val="000000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2" w:type="paragraph">
    <w:name w:val="Hyperlink"/>
    <w:link w:val="Style_2_ch"/>
    <w:rPr>
      <w:color w:val="0000FF"/>
      <w:u w:val="single"/>
    </w:rPr>
  </w:style>
  <w:style w:styleId="Style_2_ch" w:type="character">
    <w:name w:val="Hyperlink"/>
    <w:link w:val="Style_2"/>
    <w:rPr>
      <w:color w:val="0000FF"/>
      <w:u w:val="single"/>
    </w:rPr>
  </w:style>
  <w:style w:styleId="Style_11" w:type="paragraph">
    <w:name w:val="Footnote"/>
    <w:link w:val="Style_11_ch"/>
    <w:pPr>
      <w:ind/>
      <w:jc w:val="left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</w:pPr>
    <w:rPr>
      <w:rFonts w:ascii="XO Thames" w:hAnsi="XO Thames"/>
      <w:b w:val="1"/>
    </w:rPr>
  </w:style>
  <w:style w:styleId="Style_12_ch" w:type="character">
    <w:name w:val="toc 1"/>
    <w:link w:val="Style_12"/>
    <w:rPr>
      <w:rFonts w:ascii="XO Thames" w:hAnsi="XO Thames"/>
      <w:b w:val="1"/>
    </w:rPr>
  </w:style>
  <w:style w:styleId="Style_13" w:type="paragraph">
    <w:name w:val="Header and Footer"/>
    <w:link w:val="Style_13_ch"/>
    <w:pPr>
      <w:spacing w:line="360" w:lineRule="auto"/>
      <w:ind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</w:pPr>
  </w:style>
  <w:style w:styleId="Style_14_ch" w:type="character">
    <w:name w:val="toc 9"/>
    <w:link w:val="Style_14"/>
  </w:style>
  <w:style w:styleId="Style_15" w:type="paragraph">
    <w:name w:val="toc 8"/>
    <w:next w:val="Style_1"/>
    <w:link w:val="Style_15_ch"/>
    <w:uiPriority w:val="39"/>
    <w:pPr>
      <w:ind w:firstLine="0" w:left="1400"/>
    </w:pPr>
  </w:style>
  <w:style w:styleId="Style_15_ch" w:type="character">
    <w:name w:val="toc 8"/>
    <w:link w:val="Style_15"/>
  </w:style>
  <w:style w:styleId="Style_16" w:type="paragraph">
    <w:name w:val="toc 5"/>
    <w:next w:val="Style_1"/>
    <w:link w:val="Style_16_ch"/>
    <w:uiPriority w:val="39"/>
    <w:pPr>
      <w:ind w:firstLine="0" w:left="800"/>
    </w:pPr>
  </w:style>
  <w:style w:styleId="Style_16_ch" w:type="character">
    <w:name w:val="toc 5"/>
    <w:link w:val="Style_16"/>
  </w:style>
  <w:style w:styleId="Style_17" w:type="paragraph">
    <w:name w:val="Subtitle"/>
    <w:next w:val="Style_1"/>
    <w:link w:val="Style_17_ch"/>
    <w:uiPriority w:val="11"/>
    <w:qFormat/>
    <w:rPr>
      <w:rFonts w:ascii="XO Thames" w:hAnsi="XO Thames"/>
      <w:i w:val="1"/>
      <w:color w:val="616161"/>
      <w:sz w:val="24"/>
    </w:rPr>
  </w:style>
  <w:style w:styleId="Style_17_ch" w:type="character">
    <w:name w:val="Subtitle"/>
    <w:link w:val="Style_17"/>
    <w:rPr>
      <w:rFonts w:ascii="XO Thames" w:hAnsi="XO Thames"/>
      <w:i w:val="1"/>
      <w:color w:val="616161"/>
      <w:sz w:val="24"/>
    </w:rPr>
  </w:style>
  <w:style w:styleId="Style_18" w:type="paragraph">
    <w:name w:val="toc 10"/>
    <w:next w:val="Style_1"/>
    <w:link w:val="Style_18_ch"/>
    <w:uiPriority w:val="39"/>
    <w:pPr>
      <w:ind w:firstLine="0" w:left="1800"/>
    </w:pPr>
  </w:style>
  <w:style w:styleId="Style_18_ch" w:type="character">
    <w:name w:val="toc 10"/>
    <w:link w:val="Style_18"/>
  </w:style>
  <w:style w:styleId="Style_19" w:type="paragraph">
    <w:name w:val="Title"/>
    <w:next w:val="Style_1"/>
    <w:link w:val="Style_19_ch"/>
    <w:uiPriority w:val="10"/>
    <w:qFormat/>
    <w:rPr>
      <w:rFonts w:ascii="XO Thames" w:hAnsi="XO Thames"/>
      <w:b w:val="1"/>
      <w:sz w:val="52"/>
    </w:rPr>
  </w:style>
  <w:style w:styleId="Style_19_ch" w:type="character">
    <w:name w:val="Title"/>
    <w:link w:val="Style_19"/>
    <w:rPr>
      <w:rFonts w:ascii="XO Thames" w:hAnsi="XO Thames"/>
      <w:b w:val="1"/>
      <w:sz w:val="52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0_ch" w:type="character">
    <w:name w:val="heading 4"/>
    <w:link w:val="Style_20"/>
    <w:rPr>
      <w:rFonts w:ascii="XO Thames" w:hAnsi="XO Thames"/>
      <w:b w:val="1"/>
      <w:color w:val="595959"/>
      <w:sz w:val="26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1_ch" w:type="character">
    <w:name w:val="heading 2"/>
    <w:link w:val="Style_21"/>
    <w:rPr>
      <w:rFonts w:ascii="XO Thames" w:hAnsi="XO Thames"/>
      <w:b w:val="1"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2021-12-01T09:57:08Z</dcterms:modified>
</cp:coreProperties>
</file>