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ind w:firstLine="567"/>
        <w:spacing/>
        <w:jc w:val="right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И.В.Васильева,</w:t>
      </w:r>
    </w:p>
    <w:p>
      <w:pPr>
        <w:ind w:firstLine="567"/>
        <w:spacing/>
        <w:jc w:val="right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МАОУ «СОШ № 15 г. Челябинска», Челябинск, Российская Федерация</w:t>
      </w:r>
    </w:p>
    <w:p>
      <w:pPr>
        <w:ind w:firstLine="567"/>
        <w:spacing/>
        <w:jc w:val="right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ind w:firstLine="567"/>
        <w:spacing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Применение персонального сайта учителя при формировании</w:t>
      </w:r>
    </w:p>
    <w:p>
      <w:pPr>
        <w:ind w:firstLine="567"/>
        <w:spacing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функциональной математической грамотности обучающихся</w:t>
      </w: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i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>Аннотация: В статье обобщается опыт практической деятельности учителя математики по использованию возможностей персонального сайта в формировании математической грамотности обучающихся. Автор предлагает  использовать банк различных типов заданий с поэтапным освоением технологии решения практических задач математического содержания.</w:t>
      </w:r>
    </w:p>
    <w:p>
      <w:pPr>
        <w:ind w:firstLine="567"/>
        <w:spacing/>
        <w:jc w:val="both"/>
        <w:rPr>
          <w:rFonts w:eastAsia="Times New Roman"/>
          <w:i/>
          <w:sz w:val="26"/>
          <w:szCs w:val="26"/>
        </w:rPr>
      </w:pPr>
      <w:r>
        <w:rPr>
          <w:rFonts w:eastAsia="Times New Roman"/>
          <w:i/>
          <w:sz w:val="26"/>
          <w:szCs w:val="26"/>
        </w:rPr>
        <w:t>Ключевые слова: математическая грамотность, функциональная грамотность, оценка качества образования, персональный сайт.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right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I. V. Vasilieva,</w:t>
      </w:r>
    </w:p>
    <w:p>
      <w:pPr>
        <w:ind w:firstLine="567"/>
        <w:spacing/>
        <w:jc w:val="right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  <w:t>MAOU "School No 15 of Chelyabinsk", Chelyabinsk, Russian Federation</w:t>
      </w:r>
    </w:p>
    <w:p>
      <w:pPr>
        <w:ind w:firstLine="567"/>
        <w:spacing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</w:r>
    </w:p>
    <w:p>
      <w:pPr>
        <w:ind w:firstLine="567"/>
        <w:spacing/>
        <w:jc w:val="center"/>
        <w:rPr>
          <w:rFonts w:eastAsia="Times New Roman"/>
          <w:b/>
          <w:sz w:val="28"/>
          <w:szCs w:val="28"/>
          <w:lang w:val="en-us"/>
        </w:rPr>
      </w:pPr>
      <w:r>
        <w:rPr>
          <w:rFonts w:eastAsia="Times New Roman"/>
          <w:b/>
          <w:sz w:val="28"/>
          <w:szCs w:val="28"/>
          <w:lang w:val="en-us"/>
        </w:rPr>
        <w:t>The use of a teacher's personal website in the formation of students' functional mathematical literacy</w:t>
      </w:r>
    </w:p>
    <w:p>
      <w:pPr>
        <w:ind w:firstLine="567"/>
        <w:spacing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</w:r>
    </w:p>
    <w:p>
      <w:pPr>
        <w:ind w:firstLine="567"/>
        <w:spacing/>
        <w:jc w:val="both"/>
        <w:rPr>
          <w:rFonts w:eastAsia="Times New Roman"/>
          <w:highlight w:val="yellow"/>
          <w:i/>
          <w:sz w:val="26"/>
          <w:szCs w:val="26"/>
          <w:lang w:val="en-us"/>
        </w:rPr>
      </w:pPr>
      <w:r>
        <w:rPr>
          <w:rFonts w:eastAsia="Times New Roman"/>
          <w:i/>
          <w:sz w:val="26"/>
          <w:szCs w:val="26"/>
          <w:lang w:val="en-us"/>
        </w:rPr>
        <w:t>Abstract: The article summarizes the practical experience of teacher in using the capabilities of personal site in the formation of students' mathematical literacy. The author proposes to use a bank of various types of tasks with phased development of technology for solving practical problems of mathematical content.</w:t>
      </w:r>
      <w:r>
        <w:rPr>
          <w:rFonts w:eastAsia="Times New Roman"/>
          <w:highlight w:val="yellow"/>
          <w:i/>
          <w:sz w:val="26"/>
          <w:szCs w:val="26"/>
          <w:lang w:val="en-us"/>
        </w:rPr>
      </w:r>
    </w:p>
    <w:p>
      <w:pPr>
        <w:ind w:firstLine="567"/>
        <w:spacing/>
        <w:jc w:val="both"/>
        <w:rPr>
          <w:rFonts w:eastAsia="Times New Roman"/>
          <w:i/>
          <w:sz w:val="26"/>
          <w:szCs w:val="26"/>
          <w:lang w:val="en-us"/>
        </w:rPr>
      </w:pPr>
      <w:r>
        <w:rPr>
          <w:rFonts w:eastAsia="Times New Roman"/>
          <w:i/>
          <w:sz w:val="26"/>
          <w:szCs w:val="26"/>
          <w:lang w:val="en-us"/>
        </w:rPr>
        <w:t>Key words: mathematical literacy, functional literacy, assessment of the quality of education, personal website.</w:t>
      </w:r>
    </w:p>
    <w:p>
      <w:pPr>
        <w:ind w:firstLine="567"/>
        <w:spacing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</w:r>
    </w:p>
    <w:p>
      <w:pPr>
        <w:ind w:firstLine="567"/>
        <w: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Современные исследования качества образования показывают, что российские школьники обладают значительным объемом знаний, но не умеют грамотно пользоваться этими знаниями. Об этом свидетельствуют международные исследования качества математического образования </w:t>
      </w:r>
      <w:r>
        <w:rPr>
          <w:sz w:val="28"/>
          <w:szCs w:val="28"/>
          <w:lang w:val="en-us"/>
        </w:rPr>
        <w:t>PISA</w:t>
      </w:r>
      <w:r>
        <w:rPr>
          <w:sz w:val="28"/>
          <w:szCs w:val="28"/>
        </w:rPr>
        <w:t xml:space="preserve"> и результаты всероссийских проверочных работ. Поэтому у современного учителя возникает проблема, как сформировать у школьников функциональную математическую грамотность на уроках математики.</w:t>
      </w:r>
    </w:p>
    <w:p>
      <w:pPr>
        <w:ind w:firstLine="567"/>
        <w: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Функционально грамотный человек — это человек, который способен использовать все постоянно приобретаемые в течение жизни знания, умения и навыки для решения максимально широкого диапазона жизненных задач в различных сферах человеческой деятельности, общения и социальных отношений. [1] </w:t>
      </w:r>
    </w:p>
    <w:p>
      <w:pPr>
        <w:ind w:firstLine="567"/>
        <w:spacing/>
        <w:jc w:val="both"/>
        <w:rPr>
          <w:sz w:val="28"/>
          <w:szCs w:val="28"/>
        </w:rPr>
      </w:pPr>
      <w:r>
        <w:rPr>
          <w:sz w:val="28"/>
          <w:szCs w:val="28"/>
        </w:rPr>
        <w:t>Математическая грамотность – это способность человека мыслить математически, формулировать, применять и интерпретировать математику для решения задач в разнообразных практических контекстах. Она включает в себя понятия, процедуры и факты, а также инструменты для описания, объяснения и предсказания явлений. Она помогает людям понять роль математики в мире, высказывать хорошо обоснованные суждения и принимать решения, которые должны принимать конструктивные, активные и размышляющие граждане в 21 веке. В определении математической грамотности особое внимание уделяется использованию математики для решения практических задач в различных контекстах.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Модель математической грамотности можно представить в виде схемы (рис.1). Школьник получает не просто задачу, а проблему из реального мира, из нее формулирует математическую проблему, переводя задачу в математический мир. Далее применяет полученные знания из школьного курса математики, приводит задачу к математическому решению и интерпретирует полученные данные в контексте проблемы.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/>
      <w:r>
        <w:rPr>
          <w:noProof/>
        </w:rPr>
        <w:drawing>
          <wp:inline distT="0" distB="0" distL="0" distR="0">
            <wp:extent cx="5934075" cy="3543300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/>
                      <a:extLst>
                        <a:ext uri="smNativeData">
                          <sm:smNativeData xmlns:sm="smNativeData" val="SMDATA_14_XP9aYB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BYAAAAHoAAAAAAAAAAAAAAAAAAAAAAAAAAAAAAAAAAAAAAAAAAAAACBJAAAzBUAAAAAAAAAAAAAAAAAACgAAAAIAAAAAQAAAAEAAAA=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3543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Рис.1.Модель математической грамотности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Формирование математической грамотности на уровне основного общего образования происходит поэтапно, на протяжении всех 5 лет обучения. Данный процесс отражен в таблице на рис.2.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начальном этапе школьника достаточно научить узнавать и понимать математический смысл текста, на следующем уровне происходит применение полученных знаний при решении элементарных задач, чаще всего практического характера. В 7 классе учащиеся учатся анализировать и выделять из большого объема информации нужную, учатся формулировать математическую проблему. В 8 классе учащиеся учатся проводить оценку полученных данных и интерпретировать данные из математической модели в текст. И на последнем этапе обучающиеся интерпретируют и оценивают математические результаты в контексте национальной или глобальной ситуации.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Примером может случить одна задача, которую можно применить и отработать на протяжении 5 лет (Пример 1).</w:t>
      </w:r>
    </w:p>
    <w:p>
      <w:pPr>
        <w:ind w:firstLine="567"/>
        <w:spacing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 1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Калорийность питания 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sz w:val="28"/>
          <w:szCs w:val="28"/>
        </w:rPr>
        <w:t xml:space="preserve">Для роста и развития организма подростка большое значение имеет энергетическая ценность продуктов питания – калорийность. 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sz w:val="28"/>
          <w:szCs w:val="28"/>
        </w:rPr>
        <w:t>.</w:t>
      </w:r>
      <w:r/>
      <w:r>
        <w:rPr>
          <w:noProof/>
        </w:rPr>
        <w:object>
          <v:shapetype id="_x0000_t75" coordsize="21600,21600" o:spt="75" o:preferrelative="t" path="m,l,21600r21600,l21600,xe">
            <v:path gradientshapeok="t" o:connecttype="rect"/>
          </v:shapetype>
          <v:shape id="Объект OLE1" o:spid="_x0000_s1026" type="#_x0000_t75" style="width:162.50pt;height:133.00pt;z-index:251658242;mso-wrap-distance-left:0.00pt;mso-wrap-distance-top:0.00pt;mso-wrap-distance-right:0.00pt;mso-wrap-distance-bottom:0.00pt;mso-wrap-style:square" stroked="f" filled="f" v:ext="SMDATA_14_XP9aYBMAAAAlAAAAM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CAAAAAHIAAAAAAAAAAAAAAAAAAAAAAAAAAAAAAAAAAAAAAAAAAAAACyDAAAZAoAAAAAAAAAAAAAAAAAACgAAAAIAAAAAQAAAAEAAAA=">
            <v:imagedata r:id="rId9" o:title="media/image2"/>
          </v:shape>
          <o:OLEObject Type="Embed" ProgID="PBrush" ShapeID="Объект OLE1" DrawAspect="Content" ObjectID="_1" r:id="rId10"/>
        </w:object>
      </w:r>
      <w:r/>
      <w:r>
        <w:rPr>
          <w:sz w:val="28"/>
          <w:szCs w:val="28"/>
        </w:rPr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sz w:val="28"/>
          <w:szCs w:val="28"/>
        </w:rPr>
        <w:t xml:space="preserve">Распределение калорийности пищи в течение суток В среднем норма для этого возраста составляет от 2500 до 2800 калорий в день в зависимости от активности: чем подросток активнее, тем больше требуется калорий.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sz w:val="28"/>
          <w:szCs w:val="28"/>
        </w:rPr>
        <w:t xml:space="preserve">Витя ведёт активный образ жизни, занимается футболом и плаванием, его суточная норма питания составляет около 2800 килокалорий. 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sz w:val="28"/>
          <w:szCs w:val="28"/>
        </w:rPr>
        <w:t>Маша не посещает спортивные секции, увлекается вышиванием и бисероплетением, её суточная норма – около 2500 килокалорий.</w:t>
      </w:r>
    </w:p>
    <w:p>
      <w:pPr>
        <w:ind w:firstLine="567"/>
        <w:spacing/>
        <w:jc w:val="righ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708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5 класс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На сколько калорий больше за сутки требуется Вите, чем Маше?</w:t>
      </w:r>
    </w:p>
    <w:p>
      <w:pPr>
        <w:ind w:firstLine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6 класс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Для роста и развития организма подростка большое значение имеет энергетическая ценность продуктов питания – калорийность. Ниже приведена таблица калорийности некоторых продуктов, употребляемых Витей.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/>
      <w:r>
        <w:rPr>
          <w:noProof/>
        </w:rPr>
        <w:object>
          <v:shape id="Объект OLE2" o:spid="_x0000_s1027" type="#_x0000_t75" style="width:297.80pt;height:119.65pt;z-index:251658243;mso-wrap-distance-left:0.00pt;mso-wrap-distance-top:0.00pt;mso-wrap-distance-right:0.00pt;mso-wrap-distance-bottom:0.00pt;mso-wrap-style:square" stroked="f" filled="f" v:ext="SMDATA_14_XP9aYBMAAAAlAAAAM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EQXAABZCQAARBcAAFkJAAAAAAAACQAAAAQAAAAAAAAADAAAABAAAAAAAAAAAAAAAAAAAAAAAAAAHgAAAGgAAAAAAAAAAAAAAAAAAAAAAAAAAAAAABAnAAAQJwAAAAAAAAAAAAAAAAAAAAAAAAAAAAAAAAAAAAAAAAAAAAAUAAAAAAAAAMDA/wAAAAAAZAAAADIAAAAAAAAAZAAAAAAAAAB/f38AAAAAACEAAABAAAAAPAAAACkAAAAHIAAAAAAAAAAAAAAAAAAAAAAAAAAAAAAAAAAAAAAAAAAAAABEFwAAWQkAAAAAAAAAAAAAAAAAACgAAAAIAAAAAQAAAAEAAAA=">
            <v:imagedata r:id="rId11" o:title="media/image3"/>
          </v:shape>
          <o:OLEObject Type="Embed" ProgID="PBrush" ShapeID="Объект OLE2" DrawAspect="Content" ObjectID="_2" r:id="rId12"/>
        </w:object>
      </w:r>
      <w:r/>
      <w:r>
        <w:rPr>
          <w:sz w:val="28"/>
          <w:szCs w:val="28"/>
        </w:rPr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На полдник Витя съел яблоко (200 г) и бутерброд с российским сыром (кусок белого хлеба 20 г и сыра 30 г). Сколько килокалорий получил Витя в полдник?</w:t>
      </w:r>
    </w:p>
    <w:p>
      <w:pPr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firstLine="708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7 класс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Представьте на диаграмме значения калорийности трёх самых калорийных продуктов из указанных в таблице.</w:t>
      </w:r>
    </w:p>
    <w:p>
      <w:pPr>
        <w:spacing/>
        <w:jc w:val="center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/>
      <w:r>
        <w:rPr>
          <w:noProof/>
        </w:rPr>
        <w:object>
          <v:shape id="Объект OLE3" o:spid="_x0000_s1028" type="#_x0000_t75" style="width:280.60pt;height:182.50pt;z-index:251658244;mso-wrap-distance-left:0.00pt;mso-wrap-distance-top:0.00pt;mso-wrap-distance-right:0.00pt;mso-wrap-distance-bottom:0.00pt;mso-wrap-style:square" stroked="f" filled="f" v:ext="SMDATA_14_XP9aYBMAAAAlAAAAMg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OwVAABCDgAA7BUAAEIOAAAAAAAACQAAAAQAAAAAAAAADAAAABAAAAAAAAAAAAAAAAAAAAAAAAAAHgAAAGgAAAAAAAAAAAAAAAAAAAAAAAAAAAAAABAnAAAQJwAAAAAAAAAAAAAAAAAAAAAAAAAAAAAAAAAAAAAAAAAAAAAUAAAAAAAAAMDA/wAAAAAAZAAAADIAAAAAAAAAZAAAAAAAAAB/f38AAAAAACEAAABAAAAAPAAAAC4AAAAHIAAAAAAAAAAAAAAAAAAAAAAAAAAAAAAAAAAAAAAAAAAAAADsFQAAQg4AAAAAAAAAAAAAAAAAACgAAAAIAAAAAQAAAAEAAAA=">
            <v:imagedata r:id="rId13" o:title="media/image4"/>
          </v:shape>
          <o:OLEObject Type="Embed" ProgID="PBrush" ShapeID="Объект OLE3" DrawAspect="Content" ObjectID="_3" r:id="rId14"/>
        </w:object>
      </w:r>
      <w:r/>
      <w:r>
        <w:rPr>
          <w:rFonts w:eastAsia="Times New Roman"/>
          <w:sz w:val="28"/>
          <w:szCs w:val="28"/>
        </w:rPr>
      </w:r>
    </w:p>
    <w:p>
      <w:pPr>
        <w:ind w:firstLine="567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8 класс</w:t>
      </w:r>
    </w:p>
    <w:p>
      <w:pPr>
        <w:ind w:firstLine="567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 xml:space="preserve">Составьте рацион правильного питания для Маши в течение дня. </w:t>
      </w:r>
    </w:p>
    <w:p>
      <w:pPr>
        <w:ind w:firstLine="567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9 класс</w:t>
      </w:r>
    </w:p>
    <w:p>
      <w:pPr>
        <w:ind w:firstLine="567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i/>
          <w:iCs/>
          <w:sz w:val="28"/>
          <w:szCs w:val="28"/>
        </w:rPr>
      </w:pPr>
      <w:r>
        <w:rPr>
          <w:rFonts w:eastAsia="Times New Roman"/>
          <w:i/>
          <w:iCs/>
          <w:sz w:val="28"/>
          <w:szCs w:val="28"/>
        </w:rPr>
        <w:t>Составьте режим тренировок для Маши на неделю с учетом рационального режима питания.</w:t>
      </w:r>
    </w:p>
    <w:p>
      <w:pPr>
        <w:ind w:firstLine="567"/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Расход калорий при разных видах деятельности</w:t>
      </w:r>
    </w:p>
    <w:p>
      <w:pPr>
        <w:ind w:firstLine="567"/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/>
      <w:r>
        <w:rPr>
          <w:noProof/>
        </w:rPr>
        <w:object>
          <v:shape id="Объект OLE4" o:spid="_x0000_s1029" type="#_x0000_t75" style="width:301.55pt;height:177.60pt;z-index:251658245;mso-wrap-distance-left:0.00pt;mso-wrap-distance-top:0.00pt;mso-wrap-distance-right:0.00pt;mso-wrap-distance-bottom:0.00pt;mso-wrap-style:square" stroked="f" filled="f" v:ext="SMDATA_14_XP9aYBMAAAAlAAAAM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I8XAADgDQAAjxcAAOANAAAAAAAACQAAAAQAAAAAAAAADAAAABAAAAAAAAAAAAAAAAAAAAAAAAAAHgAAAGgAAAAAAAAAAAAAAAAAAAAAAAAAAAAAABAnAAAQJwAAAAAAAAAAAAAAAAAAAAAAAAAAAAAAAAAAAAAAAAAAAAAUAAAAAAAAAMDA/wAAAAAAZAAAADIAAAAAAAAAZAAAAAAAAAB/f38AAAAAACEAAABAAAAAPAAAADQAAAAHIAAAAAAAAAAAAAAAAAAAAAAAAAAAAAAAAAAAAAAAAAAAAACPFwAA4A0AAAAAAAAAAAAAAAAAACgAAAAIAAAAAQAAAAEAAAA=">
            <v:imagedata r:id="rId15" o:title="media/image5"/>
          </v:shape>
          <o:OLEObject Type="Embed" ProgID="PBrush" ShapeID="Объект OLE4" DrawAspect="Content" ObjectID="_4" r:id="rId16"/>
        </w:object>
      </w:r>
      <w:r/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center"/>
        <w:rPr>
          <w:rFonts w:eastAsia="Times New Roman"/>
          <w:sz w:val="28"/>
          <w:szCs w:val="28"/>
        </w:rPr>
      </w:pPr>
      <w:r/>
      <w:r>
        <w:rPr>
          <w:noProof/>
        </w:rPr>
        <w:drawing>
          <wp:inline distT="0" distB="0" distL="0" distR="0">
            <wp:extent cx="5757545" cy="2940685"/>
            <wp:effectExtent l="0" t="0" r="0" b="0"/>
            <wp:docPr id="6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"/>
                    <pic:cNvPicPr>
                      <a:picLocks noChangeAspect="1"/>
                      <a:extLst>
                        <a:ext uri="smNativeData">
                          <sm:smNativeData xmlns:sm="smNativeData" val="SMDATA_14_XP9aYB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IAE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DYAAAAHoAAAAAAAAAAAAAAAAAAAAAAAAAAAAAAAAAAAAAAAAAAAAABrIwAAFxIAAAAAAAAAAAAAAAAAACgAAAAIAAAAAQAAAAEAAAA="/>
                        </a:ext>
                      </a:extLst>
                    </pic:cNvPicPr>
                  </pic:nvPicPr>
                  <pic:blipFill>
                    <a:blip r:embed="rId17"/>
                    <a:srcRect l="2880"/>
                    <a:stretch>
                      <a:fillRect/>
                    </a:stretch>
                  </pic:blipFill>
                  <pic:spPr>
                    <a:xfrm>
                      <a:off x="0" y="0"/>
                      <a:ext cx="5757545" cy="294068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Рис.2.Поэтапное развитие умений, составляющих основу математической грамотности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решения проблемы подготовки к всероссийским проверочным работам (ВПР), государственной итоговой аттестации и международным исследованиям качества образования, в которые входят задания по математической грамотности, используется персональный сайт учителя, автора данной статьи, </w:t>
      </w:r>
      <w:hyperlink r:id="rId18" w:history="1">
        <w:r>
          <w:rPr>
            <w:rStyle w:val="char2"/>
            <w:rFonts w:eastAsia="Times New Roman"/>
            <w:sz w:val="28"/>
            <w:szCs w:val="28"/>
            <w:lang w:val="en-us"/>
          </w:rPr>
          <w:t>www</w:t>
        </w:r>
        <w:r>
          <w:rPr>
            <w:rStyle w:val="char2"/>
            <w:rFonts w:eastAsia="Times New Roman"/>
            <w:sz w:val="28"/>
            <w:szCs w:val="28"/>
          </w:rPr>
          <w:t>.пифагорчик.рф</w:t>
        </w:r>
      </w:hyperlink>
      <w:r>
        <w:rPr>
          <w:rFonts w:eastAsia="Times New Roman"/>
          <w:sz w:val="28"/>
          <w:szCs w:val="28"/>
        </w:rPr>
        <w:t xml:space="preserve">, который разработан на платформе </w:t>
      </w:r>
      <w:r>
        <w:rPr>
          <w:rFonts w:eastAsia="Times New Roman"/>
          <w:sz w:val="28"/>
          <w:szCs w:val="28"/>
          <w:lang w:val="en-us"/>
        </w:rPr>
        <w:t>MOODLE</w:t>
      </w:r>
      <w:r>
        <w:rPr>
          <w:rFonts w:eastAsia="Times New Roman"/>
          <w:sz w:val="28"/>
          <w:szCs w:val="28"/>
        </w:rPr>
        <w:t>. Сайт работает уже в течение 7 лет, предназначен для использования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на уроках математики</w:t>
      </w:r>
      <w:r>
        <w:rPr>
          <w:rFonts w:eastAsia="Times New Roman"/>
          <w:sz w:val="28"/>
          <w:szCs w:val="28"/>
        </w:rPr>
        <w:t>, при выполнении домашних заданий, самостоятельной подготовке обучающихся.</w:t>
      </w:r>
      <w:r>
        <w:rPr>
          <w:rFonts w:eastAsia="Times New Roman"/>
          <w:sz w:val="28"/>
          <w:szCs w:val="28"/>
        </w:rPr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сайте расположены разделы с 5 по 11 класс алгебры и геометрии. Каждый курс состоит из тем, в которых расположены теоретические блоки, лекционный материал, доказательство теорем по геометрии и записанные автором статьи видеоуроки по каждой теме.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Данные видеоуроки можно использовать на уроках, либо на дистанционном обучении. Кроме этого, если ребёнок проболел или пропустил урок по уважительной причине или просто недопонял материал, он всегда может вернуться к данной теме просто посмотрев материал видеуроков.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Кроме этого, на сайте расположены тестовые задания включающие задачи по теме урока, включающие в себя задания из всероссийских проверочных работ, единого государственного экзамена. В начале каждого урока мы разбираем вопросы из домашнего задания, осуществляя систематическую, поэтапную подготовку к ВПР, ОГЭ и ЕГЭ на каждом уроке.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Формирование математической грамотности с использованием материалов персонального сайта связано с развитием умений обучающихся, составляющих основу математической грамотности. 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первом этапе задания представлены в виде вопроса к предложенному тексту. На сайте обучающимся предлагается банк задач, составленных из материалов </w:t>
      </w:r>
      <w:r>
        <w:rPr>
          <w:sz w:val="28"/>
          <w:szCs w:val="28"/>
        </w:rPr>
        <w:t xml:space="preserve">Федерального института педагогических измерений, </w:t>
      </w:r>
      <w:r>
        <w:rPr>
          <w:rFonts w:eastAsia="Times New Roman"/>
          <w:sz w:val="28"/>
          <w:szCs w:val="28"/>
        </w:rPr>
        <w:t xml:space="preserve"> о</w:t>
      </w:r>
      <w:r>
        <w:rPr>
          <w:sz w:val="28"/>
          <w:szCs w:val="28"/>
        </w:rPr>
        <w:t>бразовательного портала для подготовки к экзаменам</w:t>
      </w:r>
      <w:r>
        <w:t xml:space="preserve"> </w:t>
      </w:r>
      <w:r>
        <w:rPr>
          <w:sz w:val="28"/>
          <w:szCs w:val="28"/>
        </w:rPr>
        <w:t>СДАМ ГИА:</w:t>
      </w:r>
      <w:r>
        <w:rPr>
          <w:sz w:val="28"/>
          <w:szCs w:val="28"/>
        </w:rPr>
        <w:t xml:space="preserve"> РЕШУ ОГЭ </w:t>
      </w:r>
      <w:r>
        <w:rPr>
          <w:rFonts w:eastAsia="Times New Roman"/>
          <w:sz w:val="28"/>
          <w:szCs w:val="28"/>
        </w:rPr>
        <w:t>(</w:t>
      </w:r>
      <w:r>
        <w:rPr>
          <w:rFonts w:eastAsia="Times New Roman"/>
          <w:sz w:val="28"/>
          <w:szCs w:val="28"/>
        </w:rPr>
        <w:t>П</w:t>
      </w:r>
      <w:r>
        <w:rPr>
          <w:rFonts w:eastAsia="Times New Roman"/>
          <w:sz w:val="28"/>
          <w:szCs w:val="28"/>
        </w:rPr>
        <w:t>ример 2)</w:t>
      </w:r>
      <w:r>
        <w:rPr>
          <w:rFonts w:eastAsia="Times New Roman"/>
          <w:sz w:val="28"/>
          <w:szCs w:val="28"/>
        </w:rPr>
        <w:t>. В данных заданиях школьник учится работать с текстом</w:t>
      </w:r>
      <w:r>
        <w:rPr>
          <w:rFonts w:eastAsia="Times New Roman"/>
          <w:sz w:val="28"/>
          <w:szCs w:val="28"/>
        </w:rPr>
        <w:t xml:space="preserve"> задачи прикладного характера</w:t>
      </w:r>
      <w:r>
        <w:rPr>
          <w:rFonts w:eastAsia="Times New Roman"/>
          <w:sz w:val="28"/>
          <w:szCs w:val="28"/>
        </w:rPr>
        <w:t xml:space="preserve">, а именно, читать, понимать материал </w:t>
      </w:r>
      <w:r>
        <w:rPr>
          <w:rFonts w:eastAsia="Times New Roman"/>
          <w:sz w:val="28"/>
          <w:szCs w:val="28"/>
        </w:rPr>
        <w:t>и</w:t>
      </w:r>
      <w:r>
        <w:rPr>
          <w:rFonts w:eastAsia="Times New Roman"/>
          <w:sz w:val="28"/>
          <w:szCs w:val="28"/>
        </w:rPr>
        <w:t xml:space="preserve"> отвечать на вопросы.</w:t>
      </w: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</w:r>
    </w:p>
    <w:p>
      <w:pPr>
        <w:ind w:firstLine="567"/>
        <w:spacing/>
        <w:jc w:val="righ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Пример 2</w:t>
      </w:r>
    </w:p>
    <w:p>
      <w:pPr>
        <w:ind w:firstLine="567"/>
        <w:spacing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Для объектов, указанных в таблице, определите, какими цифрами они обозначены на схеме. Заполните таблицу, в ответ запишите последовательность, состоящую из четырёх цифр.</w:t>
      </w:r>
    </w:p>
    <w:p>
      <w:pPr>
        <w:ind w:firstLine="567"/>
        <w:spacing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 </w:t>
      </w:r>
    </w:p>
    <w:tbl>
      <w:tblPr>
        <w:tblStyle w:val="NormalTable"/>
        <w:name w:val="Таблица1"/>
        <w:tabOrder w:val="0"/>
        <w:jc w:val="center"/>
        <w:tblInd w:w="0" w:type="dxa"/>
        <w:tblW w:w="8547" w:type="dxa"/>
        <w:tblLook w:val="04A0" w:firstRow="1" w:lastRow="0" w:firstColumn="1" w:lastColumn="0" w:noHBand="0" w:noVBand="1"/>
      </w:tblPr>
      <w:tblGrid>
        <w:gridCol w:w="1511"/>
        <w:gridCol w:w="1460"/>
        <w:gridCol w:w="893"/>
        <w:gridCol w:w="2140"/>
        <w:gridCol w:w="2543"/>
      </w:tblGrid>
      <w:tr>
        <w:trPr>
          <w:tblHeader w:val="0"/>
          <w:cantSplit w:val="0"/>
          <w:trHeight w:val="0" w:hRule="auto"/>
        </w:trPr>
        <w:tc>
          <w:tcPr>
            <w:tcW w:w="1511" w:type="dxa"/>
            <w:vAlign w:val="center"/>
            <w:shd w:val="solid" w:color="DEDEDE" tmshd="1677721856, 0, 14606046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spacing w:before="100" w:after="100" w:beforeAutospacing="1" w:afterAutospacing="1"/>
              <w:widowControl/>
              <w:rPr>
                <w:rFonts w:eastAsia="Times New Roman"/>
                <w:b/>
                <w:bCs/>
                <w:i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i/>
                <w:sz w:val="28"/>
                <w:szCs w:val="28"/>
              </w:rPr>
              <w:t>Объекты</w:t>
            </w:r>
          </w:p>
        </w:tc>
        <w:tc>
          <w:tcPr>
            <w:tcW w:w="1460" w:type="dxa"/>
            <w:vAlign w:val="center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spacing w:before="75"/>
              <w:widowControl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гостиная</w:t>
            </w:r>
          </w:p>
        </w:tc>
        <w:tc>
          <w:tcPr>
            <w:tcW w:w="893" w:type="dxa"/>
            <w:vAlign w:val="center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spacing w:before="75"/>
              <w:widowControl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кухня</w:t>
            </w:r>
          </w:p>
        </w:tc>
        <w:tc>
          <w:tcPr>
            <w:tcW w:w="2140" w:type="dxa"/>
            <w:vAlign w:val="center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spacing w:before="75"/>
              <w:widowControl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ванная комната</w:t>
            </w:r>
          </w:p>
        </w:tc>
        <w:tc>
          <w:tcPr>
            <w:tcW w:w="2543" w:type="dxa"/>
            <w:vAlign w:val="center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spacing w:before="75"/>
              <w:widowControl/>
              <w:rPr>
                <w:rFonts w:eastAsia="Times New Roman"/>
                <w:i/>
                <w:sz w:val="28"/>
                <w:szCs w:val="28"/>
              </w:rPr>
            </w:pPr>
            <w:r>
              <w:rPr>
                <w:rFonts w:eastAsia="Times New Roman"/>
                <w:i/>
                <w:sz w:val="28"/>
                <w:szCs w:val="28"/>
              </w:rPr>
              <w:t>кладовая комната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11" w:type="dxa"/>
            <w:vAlign w:val="center"/>
            <w:shd w:val="solid" w:color="DEDEDE" tmshd="1677721856, 0, 14606046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spacing w:beforeAutospacing="1" w:afterAutospacing="1"/>
              <w:widowControl/>
              <w:rPr>
                <w:rFonts w:eastAsia="Times New Roman"/>
                <w:b/>
                <w:bCs/>
                <w:i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i/>
                <w:sz w:val="28"/>
                <w:szCs w:val="28"/>
              </w:rPr>
              <w:t>Цифры</w:t>
            </w:r>
          </w:p>
        </w:tc>
        <w:tc>
          <w:tcPr>
            <w:tcW w:w="1460" w:type="dxa"/>
            <w:vAlign w:val="center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ind w:firstLine="567"/>
              <w:spacing w:before="75"/>
              <w:jc w:val="center"/>
              <w:widowControl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893" w:type="dxa"/>
            <w:vAlign w:val="center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ind w:firstLine="567"/>
              <w:spacing w:before="75"/>
              <w:jc w:val="center"/>
              <w:widowControl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2140" w:type="dxa"/>
            <w:vAlign w:val="center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ind w:firstLine="567"/>
              <w:spacing w:before="75"/>
              <w:jc w:val="center"/>
              <w:widowControl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  <w:tc>
          <w:tcPr>
            <w:tcW w:w="2543" w:type="dxa"/>
            <w:vAlign w:val="center"/>
            <w:tcMar>
              <w:top w:w="60" w:type="dxa"/>
              <w:left w:w="60" w:type="dxa"/>
              <w:bottom w:w="60" w:type="dxa"/>
              <w:right w:w="60" w:type="dxa"/>
            </w:tcMar>
            <w:tcBorders>
              <w:top w:val="single" w:sz="6" w:space="0" w:color="000000" tmln="15, 20, 20, 0, 0"/>
              <w:left w:val="single" w:sz="6" w:space="0" w:color="000000" tmln="15, 20, 20, 0, 0"/>
              <w:bottom w:val="single" w:sz="6" w:space="0" w:color="000000" tmln="15, 20, 20, 0, 0"/>
              <w:right w:val="single" w:sz="6" w:space="0" w:color="000000" tmln="15, 20, 20, 0, 0"/>
            </w:tcBorders>
            <w:tmTcPr id="1616576348" protected="0"/>
          </w:tcPr>
          <w:p>
            <w:pPr>
              <w:ind w:firstLine="567"/>
              <w:spacing w:before="75"/>
              <w:jc w:val="center"/>
              <w:widowControl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</w:r>
          </w:p>
        </w:tc>
      </w:tr>
    </w:tbl>
    <w:p>
      <w:pPr>
        <w:ind w:firstLine="567"/>
        <w:spacing/>
        <w:jc w:val="center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/>
      <w:r>
        <w:rPr>
          <w:noProof/>
        </w:rPr>
        <w:drawing>
          <wp:inline distT="0" distB="0" distL="0" distR="0">
            <wp:extent cx="3067050" cy="2400300"/>
            <wp:effectExtent l="0" t="0" r="0" b="0"/>
            <wp:docPr id="7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1"/>
                    <pic:cNvPicPr>
                      <a:picLocks noChangeAspect="1"/>
                      <a:extLst>
                        <a:ext uri="smNativeData">
                          <sm:smNativeData xmlns:sm="smNativeData" val="SMDATA_14_XP9aY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EQAAAAHoAAAAAAAAAAAAAAAAAAAAAAAAAAAAAAAAAAAAAAAAAAAAADeEgAAxA4AAAAAAAAAAAAAAAAAACgAAAAIAAAAAQAAAAEAAAA="/>
                        </a:ext>
                      </a:extLst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24003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На плане изображена схема квартиры (сторона каждой клетки на схеме равна 1 м). Квартира имеет прямоугольную форму. Вход и выход осуществляются через единственную дверь.</w:t>
      </w:r>
    </w:p>
    <w:p>
      <w:pPr>
        <w:ind w:firstLine="567"/>
        <w:spacing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При входе в квартиру расположен коридор, отмеченный цифрой 1, а справа находится кладовая комната, которая занимает площадь в 20 кв. м.</w:t>
      </w:r>
    </w:p>
    <w:p>
      <w:pPr>
        <w:ind w:firstLine="567"/>
        <w:spacing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Гостиная занимает наибольшую площадь в квартире, а слева от неё находится кухня. Прямо перед гостиной находится детская.</w:t>
      </w:r>
    </w:p>
    <w:p>
      <w:pPr>
        <w:ind w:firstLine="567"/>
        <w:spacing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В верхнем правом углу схемы находится санузел, отмеченный цифрой 6. Прямо напротив него располагается ванная комната.</w:t>
      </w:r>
    </w:p>
    <w:p>
      <w:pPr>
        <w:ind w:firstLine="567"/>
        <w:spacing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В санузле и ванной комнате пол выложен плиткой, которая имеет размер 0,5 м × 0,5 м.</w:t>
      </w:r>
    </w:p>
    <w:p>
      <w:pPr>
        <w:ind w:firstLine="567"/>
        <w:spacing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В квартире стоит однотарифный счётчик электроэнергии. Имеется возможность установить двухтарифный счётчик.</w:t>
      </w:r>
      <w:r>
        <w:rPr>
          <w:rFonts w:eastAsia="Times New Roman"/>
          <w:sz w:val="28"/>
          <w:szCs w:val="28"/>
        </w:rPr>
        <w:t>[2]</w:t>
      </w:r>
    </w:p>
    <w:p>
      <w:pPr>
        <w:ind w:firstLine="567"/>
        <w:spacing/>
        <w:jc w:val="both"/>
        <w:rPr>
          <w:rFonts w:eastAsia="Times New Roman"/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следующем этапе учащиеся выбирают правильное рассуждение с последующим объяснением из предложенных вариантов (Пример 3).[3]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 3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para3"/>
        <w:ind w:firstLine="567"/>
        <w:spacing w:before="0" w:after="12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i/>
          <w:sz w:val="28"/>
          <w:szCs w:val="28"/>
          <w:u w:color="auto" w:val="single"/>
        </w:rPr>
      </w:pPr>
      <w:r>
        <w:rPr>
          <w:i/>
          <w:sz w:val="28"/>
          <w:szCs w:val="28"/>
          <w:u w:color="auto" w:val="single"/>
        </w:rPr>
        <w:t>Прочтите текст.</w:t>
      </w:r>
    </w:p>
    <w:p>
      <w:pPr>
        <w:pStyle w:val="para3"/>
        <w:ind w:firstLine="567"/>
        <w:spacing w:before="0" w:after="12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i/>
          <w:iCs/>
          <w:sz w:val="28"/>
          <w:szCs w:val="28"/>
        </w:rPr>
        <w:t>Масса самой большой планеты Солнечной системы — Юпитера — в 318 раз больше массы Земли. Вокруг многих планет движутся их спутники, которые также удерживаются вблизи планет силами тяготения. Спутник нашей Земли — Луна — самое близкое к нам небесное тело. Расстояние между Луной и Землёй равно в среднем 380 000 км. Масса Луны в 81 раз меньше массы Земли.</w:t>
      </w:r>
      <w:r>
        <w:rPr>
          <w:sz w:val="28"/>
          <w:szCs w:val="28"/>
        </w:rPr>
      </w:r>
    </w:p>
    <w:p>
      <w:pPr>
        <w:pStyle w:val="para3"/>
        <w:ind w:firstLine="567"/>
        <w:spacing w:before="0" w:after="12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i/>
          <w:iCs/>
          <w:sz w:val="28"/>
          <w:szCs w:val="28"/>
        </w:rPr>
        <w:t>Чем меньше масса планеты, тем с меньшей силой она притягивает к себе тела. Сила тяжести на поверхности Луны в 6 раз меньше силы тяжести, действующей на поверхности Земли. Например, автомобиль, масса которого 600 кг, на Луне весил бы не 6000 Н, как на Земле, а 1000 Н, что соответствует 100 кг на Земле. Чтобы покинуть Луну, тела должны иметь скорость не 11 км/с, как на Земле, а 2,4 км/с. А если бы человек высадился на Юпитер, масса которого во много раз больше массы Земли, то там он весил бы почти в 3 раза больше, чем на Земле.</w:t>
      </w:r>
      <w:r>
        <w:rPr>
          <w:sz w:val="28"/>
          <w:szCs w:val="28"/>
        </w:rPr>
      </w:r>
    </w:p>
    <w:p>
      <w:pPr>
        <w:pStyle w:val="para3"/>
        <w:ind w:firstLine="567"/>
        <w:spacing w:before="0" w:after="12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b/>
          <w:bCs/>
          <w:sz w:val="28"/>
          <w:szCs w:val="28"/>
        </w:rPr>
        <w:t>Сможет ли семиклассник поднять на Земле предмет, который на Луне весит 120 Н? </w:t>
      </w:r>
      <w:r>
        <w:rPr>
          <w:sz w:val="28"/>
          <w:szCs w:val="28"/>
        </w:rPr>
      </w:r>
    </w:p>
    <w:p>
      <w:pPr>
        <w:pStyle w:val="para3"/>
        <w:ind w:firstLine="567"/>
        <w:spacing w:before="0" w:after="12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b/>
          <w:bCs/>
          <w:sz w:val="28"/>
          <w:szCs w:val="28"/>
        </w:rPr>
        <w:t>Выберите верный вариант рассуждения.</w:t>
      </w:r>
      <w:r>
        <w:rPr>
          <w:sz w:val="28"/>
          <w:szCs w:val="28"/>
        </w:rPr>
      </w:r>
    </w:p>
    <w:p>
      <w:pPr>
        <w:ind w:firstLine="567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Выберите один ответ:</w:t>
      </w:r>
    </w:p>
    <w:p>
      <w:pPr>
        <w:ind w:firstLine="567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/>
      <w:r>
        <w:rPr>
          <w:noProof/>
        </w:rPr>
        <w:drawing>
          <wp:inline distT="0" distB="0" distL="114300" distR="114300">
            <wp:extent cx="212090" cy="176530"/>
            <wp:effectExtent l="0" t="0" r="0" b="0"/>
            <wp:docPr id="8" name="Объект OLE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Объект OLE11"/>
                    <pic:cNvPicPr>
                      <a:extLst>
                        <a:ext uri="smNativeData">
                          <sm:smNativeData xmlns:sm="smNativeData" val="SMDATA_14_XP9aYBMAAAAlAAAAEQ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FYAAAAHoAAAAAAAAAAAAAAAAAAAAgAAAAAAAAAAAAAAAgAAAAAAAABOAQAAFgEAAAAAAAAAAAAAAAAAACgAAAAIAAAAAQAAAAEAAAA="/>
                        </a:ext>
                      </a:extLst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2090" cy="176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eastAsia="Times New Roman"/>
          <w:sz w:val="28"/>
          <w:szCs w:val="28"/>
        </w:rPr>
        <w:t>a. На Земле предметы весят в 6 раз больше. Поэтому предмет, который на Луне весит 720 Н, на Земле весит 120 Н, что соответствует 12 кг. Семиклассник сможет поднять этот предмет.</w:t>
      </w:r>
      <w:r>
        <w:rPr>
          <w:rFonts w:eastAsia="Times New Roman"/>
          <w:sz w:val="28"/>
          <w:szCs w:val="28"/>
        </w:rPr>
      </w:r>
    </w:p>
    <w:p>
      <w:pPr>
        <w:ind w:firstLine="567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/>
      <w:r>
        <w:rPr>
          <w:noProof/>
        </w:rPr>
        <w:drawing>
          <wp:inline distT="0" distB="0" distL="114300" distR="114300">
            <wp:extent cx="212090" cy="176530"/>
            <wp:effectExtent l="0" t="0" r="0" b="0"/>
            <wp:docPr id="9" name="Объект OLE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Объект OLE10"/>
                    <pic:cNvPicPr>
                      <a:extLst>
                        <a:ext uri="smNativeData">
                          <sm:smNativeData xmlns:sm="smNativeData" val="SMDATA_14_XP9aY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FcAAAAHoAAAAAAAAAAAAAAAAAAAAgAAAAAAAAAAAAAAAgAAAAAAAABOAQAAFgEAAAAAAAAAAAAAAAAAACgAAAAIAAAAAQAAAAEAAAA="/>
                        </a:ext>
                      </a:extLst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2090" cy="176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eastAsia="Times New Roman"/>
          <w:sz w:val="28"/>
          <w:szCs w:val="28"/>
        </w:rPr>
        <w:t>b. На Земле предметы весят в 6 раз меньше. Поэтому предмет, который на Луне весит 120 Н, на Земле весит 20 Н, что соответствует 2 кг. Семиклассник сможет поднять этот предмет.</w:t>
      </w:r>
      <w:r>
        <w:rPr>
          <w:rFonts w:eastAsia="Times New Roman"/>
          <w:sz w:val="28"/>
          <w:szCs w:val="28"/>
        </w:rPr>
      </w:r>
    </w:p>
    <w:p>
      <w:pPr>
        <w:ind w:firstLine="567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/>
      <w:r>
        <w:rPr>
          <w:noProof/>
        </w:rPr>
        <w:drawing>
          <wp:inline distT="0" distB="0" distL="114300" distR="114300">
            <wp:extent cx="212090" cy="176530"/>
            <wp:effectExtent l="0" t="0" r="0" b="0"/>
            <wp:docPr id="10" name="Объект OLE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Объект OLE11"/>
                    <pic:cNvPicPr>
                      <a:extLst>
                        <a:ext uri="smNativeData">
                          <sm:smNativeData xmlns:sm="smNativeData" val="SMDATA_14_XP9aY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FgAAAAHoAAAAAAAAAAAAAAAAAAAAgAAAAAAAAAAAAAAAgAAAAAAAABOAQAAFgEAAAAAAAAAAAAAAAAAACgAAAAIAAAAAQAAAAEAAAA="/>
                        </a:ext>
                      </a:extLst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2090" cy="176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eastAsia="Times New Roman"/>
          <w:sz w:val="28"/>
          <w:szCs w:val="28"/>
        </w:rPr>
        <w:t>c. На Земле предметы весят в 6 раз больше. Поэтому предмет, который на Луне весит 120 Н, на Земле весит 720 Н, что соответствует 72 кг. Семиклассник не сможет поднять этот предмет.</w:t>
      </w:r>
      <w:r>
        <w:rPr>
          <w:rFonts w:eastAsia="Times New Roman"/>
          <w:sz w:val="28"/>
          <w:szCs w:val="28"/>
        </w:rPr>
      </w:r>
    </w:p>
    <w:p>
      <w:pPr>
        <w:ind w:firstLine="567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/>
      <w:r>
        <w:rPr>
          <w:noProof/>
        </w:rPr>
        <w:drawing>
          <wp:inline distT="0" distB="0" distL="114300" distR="114300">
            <wp:extent cx="212090" cy="176530"/>
            <wp:effectExtent l="0" t="0" r="0" b="0"/>
            <wp:docPr id="11" name="Объект OLE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Объект OLE10"/>
                    <pic:cNvPicPr>
                      <a:extLst>
                        <a:ext uri="smNativeData">
                          <sm:smNativeData xmlns:sm="smNativeData" val="SMDATA_14_XP9aY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FkAAAAHoAAAAAAAAAAAAAAAAAAAAgAAAAAAAAAAAAAAAgAAAAAAAABOAQAAFgEAAAAAAAAAAAAAAAAAACgAAAAIAAAAAQAAAAEAAAA="/>
                        </a:ext>
                      </a:extLst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2090" cy="17653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  <w:r>
        <w:rPr>
          <w:rFonts w:eastAsia="Times New Roman"/>
          <w:sz w:val="28"/>
          <w:szCs w:val="28"/>
        </w:rPr>
        <w:t>d. На Земле предметы весят в 6 раз меньше. Поэтому предмет, который на Луне весит 120 Н, на Земле весит 20 Н, что соответствует 2 кг. Семиклассник сможет поднять этот предмет.</w:t>
      </w: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  <w:lang w:val="en-us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третьем этапе школьнику после предложенной практической задачи в готовом виде формулируется математическая проблема и шаблона решения задания. Школьнику необходимо заполнить пропуски в формулировке математической проблемы, вытекающей из задачи, и в решении самой математической задачи (Пример 4). [3]</w:t>
      </w:r>
    </w:p>
    <w:p>
      <w:pPr>
        <w:ind w:firstLine="567"/>
        <w:spacing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 4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pStyle w:val="para3"/>
        <w:ind w:firstLine="567"/>
        <w:spacing w:before="0" w:after="12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i/>
          <w:sz w:val="28"/>
          <w:szCs w:val="28"/>
          <w:u w:color="auto" w:val="single"/>
        </w:rPr>
      </w:pPr>
      <w:r>
        <w:rPr>
          <w:i/>
          <w:sz w:val="28"/>
          <w:szCs w:val="28"/>
          <w:u w:color="auto" w:val="single"/>
        </w:rPr>
        <w:t>Прочтите текст.</w:t>
      </w:r>
    </w:p>
    <w:p>
      <w:pPr>
        <w:ind w:firstLine="708"/>
        <w:spacing w:after="15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Для окраски металлических поверхностей можно пользоваться кистью, малярным валиком или распылителем краски — краскопультом. При окраске кистью получается неравномерный и толстый слой краски, достигающий 1 мм. Кроме того, возникают потёки на вертикальных поверхностях. При использовании валика слой получается более равномерным, но и в этом случае есть недостатки — валик не прокрашивает изогнутые места. При использовании распылителя можно добиться тонкого и ровного слоя краски, но часть краски теряется.</w:t>
      </w:r>
    </w:p>
    <w:p>
      <w:pPr>
        <w:ind w:firstLine="708"/>
        <w:spacing w:after="15"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solid" w:color="F8F8F8" tmshd="6553856, 16316664, 16777215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Кирилл Петрович хочет покрасить металлический лист размером 220 см на 50 см с обеих сторон, при этом он пользуется только кистью. Средняя толщина слоя краски получается 0,8 мм. Хватит ли ему банки краски объёмом 10 л? Известно, что в 1 литре 1000 см</w:t>
      </w:r>
      <w:r>
        <w:rPr>
          <w:i/>
          <w:iCs/>
          <w:color w:val="000000"/>
          <w:sz w:val="28"/>
          <w:szCs w:val="28"/>
          <w:vertAlign w:val="superscript"/>
        </w:rPr>
        <w:t>3</w:t>
      </w:r>
      <w:r>
        <w:rPr>
          <w:i/>
          <w:iCs/>
          <w:color w:val="000000"/>
          <w:sz w:val="28"/>
          <w:szCs w:val="28"/>
        </w:rPr>
        <w:t> . Запишите решение и ответ.</w:t>
      </w:r>
    </w:p>
    <w:p>
      <w:pPr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/>
      <w:r>
        <w:rPr>
          <w:noProof/>
        </w:rPr>
        <w:object>
          <v:shape id="Объект OLE12" o:spid="_x0000_s1030" type="#_x0000_t75" style="width:467.45pt;height:143.80pt;z-index:251658252;mso-wrap-distance-left:0.00pt;mso-wrap-distance-top:0.00pt;mso-wrap-distance-right:0.00pt;mso-wrap-distance-bottom:0.00pt;mso-wrap-style:square" stroked="f" filled="f" v:ext="SMDATA_14_XP9aYBMAAAAlAAAAMg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IUkAAA8CwAAhSQAADwLAAAAAAAACQAAAAQAAAAAAAAADAAAABAAAAAAAAAAAAAAAAAAAAAAAAAAHgAAAGgAAAAAAAAAAAAAAAAAAAAAAAAAAAAAABAnAAAQJwAAAAAAAAAAAAAAAAAAAAAAAAAAAAAAAAAAAAAAAAAAAAAUAAAAAAAAAMDA/wAAAAAAZAAAADIAAAAAAAAAZAAAAAAAAAB/f38AAAAAACEAAABAAAAAPAAAAGEAAAAHIAAAAAAAAAAAAAAAAAAAAAAAAAAAAAAAAAAAAAAAAAAAAACFJAAAPAsAAAAAAAAAAAAAAAAAACgAAAAIAAAAAQAAAAEAAAA=">
            <v:imagedata r:id="rId21" o:title="media/image9"/>
          </v:shape>
          <o:OLEObject Type="Embed" ProgID="PBrush" ShapeID="Объект OLE12" DrawAspect="Content" ObjectID="_5" r:id="rId22"/>
        </w:object>
      </w:r>
      <w:r/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rFonts w:eastAsia="Times New Roman"/>
          <w:sz w:val="28"/>
          <w:szCs w:val="28"/>
        </w:rPr>
      </w:pPr>
      <w:r/>
      <w:r>
        <w:rPr>
          <w:noProof/>
        </w:rPr>
        <w:object>
          <v:shape id="Объект OLE13" o:spid="_x0000_s1031" type="#_x0000_t75" style="width:390.00pt;height:64.50pt;z-index:251658253;mso-wrap-distance-left:0.00pt;mso-wrap-distance-top:0.00pt;mso-wrap-distance-right:0.00pt;mso-wrap-distance-bottom:0.00pt;mso-wrap-style:square" stroked="f" filled="f" v:ext="SMDATA_14_XP9aYBMAAAAlAAAAM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GMAAAAHIAAAAAAAAAAAAAAAAAAAAAAAAAAAAAAAAAAAAAAAAAAAAAB4HgAACgUAAAAAAAAAAAAAAAAAACgAAAAIAAAAAQAAAAEAAAA=">
            <v:imagedata r:id="rId23" o:title="media/image10"/>
          </v:shape>
          <o:OLEObject Type="Embed" ProgID="PBrush" ShapeID="Объект OLE13" DrawAspect="Content" ObjectID="_6" r:id="rId24"/>
        </w:object>
      </w:r>
      <w:r/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заключительном этапе школьник учится самостоятельно формулировать математическую задачу, ее решать и проводить анализ полученных результатов (Пример 5). [3]</w:t>
      </w:r>
    </w:p>
    <w:p>
      <w:pPr>
        <w:ind w:firstLine="567"/>
        <w: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Пример 5</w:t>
      </w:r>
    </w:p>
    <w:p>
      <w:pPr>
        <w:pStyle w:val="para3"/>
        <w:ind w:firstLine="567"/>
        <w:spacing w:before="0" w:after="12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i/>
          <w:sz w:val="28"/>
          <w:szCs w:val="28"/>
          <w:u w:color="auto" w:val="single"/>
        </w:rPr>
      </w:pPr>
      <w:r>
        <w:rPr>
          <w:i/>
          <w:sz w:val="28"/>
          <w:szCs w:val="28"/>
          <w:u w:color="auto" w:val="single"/>
        </w:rPr>
        <w:t>Прочтите текст.</w:t>
      </w:r>
    </w:p>
    <w:p>
      <w:pPr>
        <w:pStyle w:val="para3"/>
        <w:ind w:firstLine="567"/>
        <w:spacing w:before="0" w:after="12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i/>
          <w:iCs/>
          <w:sz w:val="28"/>
          <w:szCs w:val="28"/>
        </w:rPr>
        <w:t>Банковский вклад — сумма денег, переданная вкладчиком банку с целью получить доход в виде процентов. Проценты на сумму вклада начисляются со дня, следующего за днем её поступления в банк, до дня закрытия вклада. Обычно вкладчик имеет возможность выбрать схему начисления процентов: либо изымать их по истечении периодов выплаты процентов, либо присоединять их к общей сумме вклада, увеличивая сумму вклада, на которую начисляются проценты.</w:t>
      </w:r>
      <w:r>
        <w:rPr>
          <w:sz w:val="28"/>
          <w:szCs w:val="28"/>
        </w:rPr>
      </w:r>
    </w:p>
    <w:p>
      <w:pPr>
        <w:pStyle w:val="para3"/>
        <w:ind w:firstLine="567"/>
        <w:spacing w:before="0" w:after="12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sz w:val="28"/>
          <w:szCs w:val="28"/>
        </w:rPr>
      </w:pPr>
      <w:r>
        <w:rPr>
          <w:i/>
          <w:iCs/>
          <w:sz w:val="28"/>
          <w:szCs w:val="28"/>
        </w:rPr>
        <w:t>1 марта 2019 года Аркадий открыл вклад в банке на 1,1 млн. рублей под 10% годовых сроком на три года. Причитающиеся проценты банк выплачивает 1 числа каждого следующего месяца, зачисляя их на карточный счет клиента (не причисляя ко вкладу).</w:t>
      </w:r>
      <w:r>
        <w:rPr>
          <w:sz w:val="28"/>
          <w:szCs w:val="28"/>
        </w:rPr>
      </w:r>
    </w:p>
    <w:p>
      <w:pPr>
        <w:pStyle w:val="para3"/>
        <w:ind w:firstLine="567"/>
        <w:spacing w:before="0" w:after="120" w:beforeAutospacing="0" w:afterAutospacing="0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8F8F8" tmshd="6553856, 16316664, 16777215"/>
        <w:rPr>
          <w:i/>
          <w:sz w:val="28"/>
          <w:szCs w:val="28"/>
        </w:rPr>
      </w:pPr>
      <w:r>
        <w:rPr>
          <w:sz w:val="28"/>
          <w:szCs w:val="28"/>
        </w:rPr>
        <w:t> </w:t>
        <w:tab/>
      </w:r>
      <w:r>
        <w:rPr>
          <w:b/>
          <w:bCs/>
          <w:i/>
          <w:sz w:val="28"/>
          <w:szCs w:val="28"/>
        </w:rPr>
        <w:t>Сможет ли Аркадий 15 декабря 2021 года купить мотоцикл за 270 тыс. рублей при условии, что может тратить только проценты по вкладу? Ответ обоснуйте.</w:t>
      </w:r>
      <w:r>
        <w:rPr>
          <w:i/>
          <w:sz w:val="28"/>
          <w:szCs w:val="28"/>
        </w:rPr>
      </w:r>
    </w:p>
    <w:p>
      <w:pPr>
        <w:ind w:firstLine="567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Функциональная грамотность становится фактором, содействующим развитию способностей школьников творчески мыслить и находить стандартные решения, умений выбирать профессиональный путь,  использовать информационно-коммуникационные технологии в различных сферах жизнедеятельности, а также обучению на протяжении всей жизни. Поэтому для успешного решения поставленной проблемы удобно использовать возможности персонального сайта </w:t>
      </w:r>
      <w:hyperlink r:id="rId18" w:history="1">
        <w:r>
          <w:rPr>
            <w:rStyle w:val="char2"/>
            <w:rFonts w:eastAsia="Times New Roman"/>
            <w:sz w:val="28"/>
            <w:szCs w:val="28"/>
            <w:lang w:val="en-us"/>
          </w:rPr>
          <w:t>www</w:t>
        </w:r>
        <w:r>
          <w:rPr>
            <w:rStyle w:val="char2"/>
            <w:rFonts w:eastAsia="Times New Roman"/>
            <w:sz w:val="28"/>
            <w:szCs w:val="28"/>
          </w:rPr>
          <w:t>.пифагорчик.рф</w:t>
        </w:r>
      </w:hyperlink>
      <w:r>
        <w:rPr>
          <w:rFonts w:eastAsia="Times New Roman"/>
          <w:sz w:val="28"/>
          <w:szCs w:val="28"/>
        </w:rPr>
        <w:t xml:space="preserve">, т.к. </w:t>
      </w:r>
      <w:r>
        <w:rPr>
          <w:rFonts w:eastAsia="Times New Roman"/>
          <w:sz w:val="28"/>
          <w:szCs w:val="28"/>
        </w:rPr>
        <w:t>он содержит базу заданий постепенного, поэтапного формирования математической грамотности</w:t>
      </w:r>
      <w:r>
        <w:rPr>
          <w:rFonts w:eastAsia="Times New Roman"/>
          <w:sz w:val="28"/>
          <w:szCs w:val="28"/>
        </w:rPr>
        <w:t xml:space="preserve"> у обучающихся на уровне основного общего образования.</w:t>
      </w: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Таким образом, задачи по формированию функциональной грамотности, в частности, математической грамотности обучающихся, возможно реализовать при условии оптимального использования возможностей персонального сайта учителя и специально подобранного, разработанного учебного содержания математического образования, направленного на совершенствование прикладных математических умений, использующихся в различных жизненных ситуациях. </w:t>
      </w:r>
    </w:p>
    <w:p>
      <w:pPr>
        <w:ind w:firstLine="567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Список литературы</w:t>
      </w:r>
    </w:p>
    <w:p>
      <w:pPr>
        <w:pStyle w:val="para4"/>
        <w:numPr>
          <w:ilvl w:val="0"/>
          <w:numId w:val="1"/>
        </w:numPr>
        <w:ind w:left="0" w:firstLine="567"/>
        <w:spacing/>
        <w:jc w:val="both"/>
        <w:rPr>
          <w:highlight w:val="yellow"/>
          <w:sz w:val="28"/>
          <w:szCs w:val="28"/>
        </w:rPr>
      </w:pPr>
      <w:r>
        <w:rPr>
          <w:highlight w:val="yellow"/>
          <w:sz w:val="28"/>
          <w:szCs w:val="28"/>
        </w:rPr>
        <w:t>Образовательная система «Школа 2100». Педагогика здравого смысла / под ред. А. А. Леонтьева. М.: Баласс, 2003. С. 35.</w:t>
      </w:r>
    </w:p>
    <w:p>
      <w:pPr>
        <w:pStyle w:val="para4"/>
        <w:numPr>
          <w:ilvl w:val="0"/>
          <w:numId w:val="1"/>
        </w:numPr>
        <w:ind w:left="0" w:firstLine="567"/>
        <w:spacing/>
        <w:jc w:val="both"/>
        <w:rPr>
          <w:highlight w:val="yellow"/>
          <w:sz w:val="28"/>
          <w:szCs w:val="28"/>
        </w:rPr>
      </w:pPr>
      <w:r>
        <w:rPr>
          <w:highlight w:val="yellow"/>
          <w:sz w:val="28"/>
          <w:szCs w:val="28"/>
        </w:rPr>
        <w:t>Образовательный портал для подготовки к экзаменам</w:t>
      </w:r>
      <w:r>
        <w:rPr>
          <w:highlight w:val="yellow"/>
        </w:rPr>
        <w:t xml:space="preserve"> </w:t>
      </w:r>
      <w:r>
        <w:rPr>
          <w:highlight w:val="yellow"/>
          <w:sz w:val="28"/>
          <w:szCs w:val="28"/>
        </w:rPr>
        <w:t>СДАМ ГИА:</w:t>
      </w:r>
      <w:r>
        <w:rPr>
          <w:highlight w:val="yellow"/>
          <w:sz w:val="28"/>
          <w:szCs w:val="28"/>
        </w:rPr>
        <w:t xml:space="preserve"> </w:t>
      </w:r>
      <w:r>
        <w:rPr>
          <w:highlight w:val="yellow"/>
          <w:sz w:val="28"/>
          <w:szCs w:val="28"/>
        </w:rPr>
        <w:t xml:space="preserve">РЕШУ </w:t>
      </w:r>
      <w:r>
        <w:rPr>
          <w:highlight w:val="yellow"/>
          <w:sz w:val="28"/>
          <w:szCs w:val="28"/>
        </w:rPr>
        <w:t>ОГЭ</w:t>
      </w:r>
      <w:r>
        <w:rPr>
          <w:highlight w:val="yellow"/>
          <w:sz w:val="28"/>
          <w:szCs w:val="28"/>
        </w:rPr>
        <w:t xml:space="preserve"> </w:t>
      </w:r>
      <w:r>
        <w:rPr>
          <w:highlight w:val="yellow"/>
        </w:rPr>
        <w:t>[</w:t>
      </w:r>
      <w:r>
        <w:rPr>
          <w:highlight w:val="yellow"/>
          <w:sz w:val="28"/>
        </w:rPr>
        <w:t>Электронный ресурс</w:t>
      </w:r>
      <w:r>
        <w:rPr>
          <w:highlight w:val="yellow"/>
        </w:rPr>
        <w:t xml:space="preserve">] - </w:t>
      </w:r>
      <w:r>
        <w:rPr>
          <w:highlight w:val="yellow"/>
          <w:sz w:val="28"/>
        </w:rPr>
        <w:t>Режим доступа:</w:t>
      </w:r>
      <w:r>
        <w:rPr>
          <w:highlight w:val="yellow"/>
        </w:rPr>
        <w:t xml:space="preserve">  </w:t>
      </w:r>
      <w:hyperlink r:id="rId25" w:history="1">
        <w:r>
          <w:rPr>
            <w:rStyle w:val="char2"/>
            <w:highlight w:val="yellow"/>
            <w:sz w:val="28"/>
            <w:szCs w:val="28"/>
          </w:rPr>
          <w:t>https://math-oge.sdamgia.ru/</w:t>
        </w:r>
      </w:hyperlink>
    </w:p>
    <w:p>
      <w:pPr>
        <w:pStyle w:val="para4"/>
        <w:numPr>
          <w:ilvl w:val="0"/>
          <w:numId w:val="1"/>
        </w:numPr>
        <w:ind w:left="0" w:firstLine="567"/>
        <w:spacing/>
        <w:jc w:val="both"/>
        <w:rPr>
          <w:highlight w:val="yellow"/>
          <w:sz w:val="28"/>
          <w:szCs w:val="28"/>
        </w:rPr>
      </w:pPr>
      <w:r>
        <w:rPr>
          <w:highlight w:val="yellow"/>
          <w:sz w:val="28"/>
          <w:szCs w:val="28"/>
        </w:rPr>
        <w:t>Образовательный портал для подготовки к экзаменам</w:t>
      </w:r>
      <w:r>
        <w:rPr>
          <w:highlight w:val="yellow"/>
        </w:rPr>
        <w:t xml:space="preserve"> </w:t>
      </w:r>
      <w:r>
        <w:rPr>
          <w:highlight w:val="yellow"/>
          <w:sz w:val="28"/>
          <w:szCs w:val="28"/>
        </w:rPr>
        <w:t>СДАМ ГИА:</w:t>
      </w:r>
      <w:r>
        <w:rPr>
          <w:highlight w:val="yellow"/>
          <w:sz w:val="28"/>
          <w:szCs w:val="28"/>
        </w:rPr>
        <w:t xml:space="preserve"> </w:t>
      </w:r>
      <w:r>
        <w:rPr>
          <w:highlight w:val="yellow"/>
          <w:sz w:val="28"/>
          <w:szCs w:val="28"/>
        </w:rPr>
        <w:t xml:space="preserve">РЕШУ ВПР </w:t>
      </w:r>
      <w:r>
        <w:rPr>
          <w:highlight w:val="yellow"/>
        </w:rPr>
        <w:t>[</w:t>
      </w:r>
      <w:r>
        <w:rPr>
          <w:highlight w:val="yellow"/>
          <w:sz w:val="28"/>
        </w:rPr>
        <w:t>Электронный ресурс</w:t>
      </w:r>
      <w:r>
        <w:rPr>
          <w:highlight w:val="yellow"/>
        </w:rPr>
        <w:t xml:space="preserve">] - </w:t>
      </w:r>
      <w:r>
        <w:rPr>
          <w:highlight w:val="yellow"/>
          <w:sz w:val="28"/>
        </w:rPr>
        <w:t>Режим доступа:</w:t>
      </w:r>
      <w:r>
        <w:rPr>
          <w:highlight w:val="yellow"/>
        </w:rPr>
        <w:t xml:space="preserve">  </w:t>
      </w:r>
      <w:hyperlink r:id="rId26" w:history="1">
        <w:r>
          <w:rPr>
            <w:rStyle w:val="char2"/>
            <w:highlight w:val="yellow"/>
            <w:sz w:val="28"/>
            <w:szCs w:val="28"/>
          </w:rPr>
          <w:t>https://math7-vpr.sdamgia.ru/</w:t>
        </w:r>
      </w:hyperlink>
    </w:p>
    <w:p>
      <w:pPr>
        <w:pStyle w:val="para4"/>
        <w:numPr>
          <w:ilvl w:val="0"/>
          <w:numId w:val="1"/>
        </w:numPr>
        <w:ind w:left="0" w:firstLine="567"/>
        <w:spacing/>
        <w:jc w:val="both"/>
        <w:rPr>
          <w:highlight w:val="yellow"/>
          <w:sz w:val="28"/>
          <w:szCs w:val="28"/>
        </w:rPr>
      </w:pPr>
      <w:hyperlink r:id="rId27" w:history="1">
        <w:r>
          <w:rPr>
            <w:rStyle w:val="char2"/>
            <w:highlight w:val="yellow"/>
            <w:sz w:val="28"/>
            <w:szCs w:val="28"/>
          </w:rPr>
          <w:t>http://пифагорчик.рф/</w:t>
        </w:r>
      </w:hyperlink>
    </w:p>
    <w:p>
      <w:pPr>
        <w:pStyle w:val="para4"/>
        <w:numPr>
          <w:ilvl w:val="0"/>
          <w:numId w:val="1"/>
        </w:numPr>
        <w:ind w:left="0" w:firstLine="567"/>
        <w:spacing/>
        <w:jc w:val="both"/>
        <w:rPr>
          <w:highlight w:val="yellow"/>
          <w:sz w:val="28"/>
          <w:szCs w:val="28"/>
        </w:rPr>
      </w:pPr>
      <w:r>
        <w:rPr>
          <w:highlight w:val="yellow"/>
          <w:sz w:val="28"/>
          <w:szCs w:val="28"/>
        </w:rPr>
      </w:r>
    </w:p>
    <w:p>
      <w:pPr>
        <w:ind w:firstLine="567"/>
        <w:spacing w:before="100" w:after="100" w:beforeAutospacing="1" w:afterAutospacing="1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eastAsia="Times New Roman"/>
          <w:sz w:val="28"/>
          <w:szCs w:val="28"/>
        </w:rPr>
      </w:pPr>
      <w:r/>
      <w:bookmarkStart w:id="0" w:name="_GoBack"/>
      <w:bookmarkEnd w:id="0"/>
      <w:r/>
      <w:r>
        <w:rPr>
          <w:rFonts w:eastAsia="Times New Roman"/>
          <w:sz w:val="28"/>
          <w:szCs w:val="28"/>
        </w:rPr>
      </w:r>
    </w:p>
    <w:p>
      <w:pPr>
        <w:ind w:firstLine="567"/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134" w:top="851" w:right="1418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libri">
    <w:panose1 w:val="020F05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Нумерованный список 1"/>
    <w:lvl w:ilvl="0">
      <w:start w:val="1"/>
      <w:numFmt w:val="decimal"/>
      <w:suff w:val="tab"/>
      <w:lvlText w:val="%1."/>
      <w:lvlJc w:val="left"/>
      <w:pPr>
        <w:ind w:left="708" w:hanging="0"/>
      </w:pPr>
      <w:rPr>
        <w:rFonts w:eastAsia="Times New Roman"/>
      </w:rPr>
    </w:lvl>
    <w:lvl w:ilvl="1">
      <w:start w:val="1"/>
      <w:numFmt w:val="lowerLetter"/>
      <w:suff w:val="tab"/>
      <w:lvlText w:val="%2."/>
      <w:lvlJc w:val="left"/>
      <w:pPr>
        <w:ind w:left="1428" w:hanging="0"/>
      </w:pPr>
    </w:lvl>
    <w:lvl w:ilvl="2">
      <w:start w:val="1"/>
      <w:numFmt w:val="lowerRoman"/>
      <w:suff w:val="tab"/>
      <w:lvlText w:val="%3."/>
      <w:lvlJc w:val="left"/>
      <w:pPr>
        <w:ind w:left="2328" w:hanging="0"/>
      </w:pPr>
    </w:lvl>
    <w:lvl w:ilvl="3">
      <w:start w:val="1"/>
      <w:numFmt w:val="decimal"/>
      <w:suff w:val="tab"/>
      <w:lvlText w:val="%4."/>
      <w:lvlJc w:val="left"/>
      <w:pPr>
        <w:ind w:left="2868" w:hanging="0"/>
      </w:pPr>
    </w:lvl>
    <w:lvl w:ilvl="4">
      <w:start w:val="1"/>
      <w:numFmt w:val="lowerLetter"/>
      <w:suff w:val="tab"/>
      <w:lvlText w:val="%5."/>
      <w:lvlJc w:val="left"/>
      <w:pPr>
        <w:ind w:left="3588" w:hanging="0"/>
      </w:pPr>
    </w:lvl>
    <w:lvl w:ilvl="5">
      <w:start w:val="1"/>
      <w:numFmt w:val="lowerRoman"/>
      <w:suff w:val="tab"/>
      <w:lvlText w:val="%6."/>
      <w:lvlJc w:val="left"/>
      <w:pPr>
        <w:ind w:left="4488" w:hanging="0"/>
      </w:pPr>
    </w:lvl>
    <w:lvl w:ilvl="6">
      <w:start w:val="1"/>
      <w:numFmt w:val="decimal"/>
      <w:suff w:val="tab"/>
      <w:lvlText w:val="%7."/>
      <w:lvlJc w:val="left"/>
      <w:pPr>
        <w:ind w:left="5028" w:hanging="0"/>
      </w:pPr>
    </w:lvl>
    <w:lvl w:ilvl="7">
      <w:start w:val="1"/>
      <w:numFmt w:val="lowerLetter"/>
      <w:suff w:val="tab"/>
      <w:lvlText w:val="%8."/>
      <w:lvlJc w:val="left"/>
      <w:pPr>
        <w:ind w:left="5748" w:hanging="0"/>
      </w:pPr>
    </w:lvl>
    <w:lvl w:ilvl="8">
      <w:start w:val="1"/>
      <w:numFmt w:val="lowerRoman"/>
      <w:suff w:val="tab"/>
      <w:lvlText w:val="%9."/>
      <w:lvlJc w:val="left"/>
      <w:pPr>
        <w:ind w:left="6648" w:hanging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shapeDefaults>
    <o:shapedefaults v:ext="edit" spidmax="1032"/>
    <o:shapelayout v:ext="edit">
      <o:rules v:ext="edit"/>
    </o:shapelayout>
  </w:shapeDefaults>
  <w:tmPrefOne w:val="17"/>
  <w:tmPrefTwo w:val="1"/>
  <w:tmFmtPref w:val="18928343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14"/>
      <w:tmLastPosIdx w:val="230"/>
    </w:tmLastPosCaret>
    <w:tmLastPosAnchor>
      <w:tmLastPosPgfIdx w:val="0"/>
      <w:tmLastPosIdx w:val="0"/>
    </w:tmLastPosAnchor>
    <w:tmLastPosTblRect w:left="0" w:top="0" w:right="0" w:bottom="0"/>
  </w:tmLastPos>
  <w:tmAppRevision w:date="1616576348" w:val="976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SimSun"/>
      <w:kern w:val="1"/>
      <w:sz w:val="20"/>
      <w:szCs w:val="20"/>
    </w:rPr>
  </w:style>
  <w:style w:type="paragraph" w:styleId="para1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" w:customStyle="1">
    <w:name w:val="left_margin"/>
    <w:qFormat/>
    <w:basedOn w:val="para0"/>
    <w:pPr>
      <w:spacing w:before="100" w:after="100" w:beforeAutospacing="1" w:afterAutospacing="1"/>
      <w:widowControl/>
    </w:pPr>
    <w:rPr>
      <w:rFonts w:eastAsia="Times New Roman"/>
      <w:sz w:val="24"/>
      <w:szCs w:val="24"/>
    </w:rPr>
  </w:style>
  <w:style w:type="paragraph" w:styleId="para3">
    <w:name w:val="Normal (Web)"/>
    <w:qFormat/>
    <w:basedOn w:val="para0"/>
    <w:pPr>
      <w:spacing w:before="100" w:after="100" w:beforeAutospacing="1" w:afterAutospacing="1"/>
      <w:widowControl/>
    </w:pPr>
    <w:rPr>
      <w:rFonts w:eastAsia="Times New Roman"/>
      <w:sz w:val="24"/>
      <w:szCs w:val="24"/>
    </w:rPr>
  </w:style>
  <w:style w:type="paragraph" w:styleId="para4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Текст выноски Знак"/>
    <w:basedOn w:val="char0"/>
    <w:rPr>
      <w:rFonts w:ascii="Tahoma" w:hAnsi="Tahoma" w:eastAsia="SimSun" w:cs="Tahoma"/>
      <w:kern w:val="1"/>
      <w:sz w:val="16"/>
      <w:szCs w:val="16"/>
    </w:rPr>
  </w:style>
  <w:style w:type="character" w:styleId="char2">
    <w:name w:val="Hyperlink"/>
    <w:basedOn w:val="char0"/>
    <w:rPr>
      <w:color w:val="0000ff"/>
      <w:u w:color="auto" w:val="single"/>
    </w:rPr>
  </w:style>
  <w:style w:type="character" w:styleId="char3">
    <w:name w:val="FollowedHyperlink"/>
    <w:basedOn w:val="char0"/>
    <w:rPr>
      <w:color w:val="800080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SimSun"/>
      <w:kern w:val="1"/>
      <w:sz w:val="20"/>
      <w:szCs w:val="20"/>
    </w:rPr>
  </w:style>
  <w:style w:type="paragraph" w:styleId="para1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" w:customStyle="1">
    <w:name w:val="left_margin"/>
    <w:qFormat/>
    <w:basedOn w:val="para0"/>
    <w:pPr>
      <w:spacing w:before="100" w:after="100" w:beforeAutospacing="1" w:afterAutospacing="1"/>
      <w:widowControl/>
    </w:pPr>
    <w:rPr>
      <w:rFonts w:eastAsia="Times New Roman"/>
      <w:sz w:val="24"/>
      <w:szCs w:val="24"/>
    </w:rPr>
  </w:style>
  <w:style w:type="paragraph" w:styleId="para3">
    <w:name w:val="Normal (Web)"/>
    <w:qFormat/>
    <w:basedOn w:val="para0"/>
    <w:pPr>
      <w:spacing w:before="100" w:after="100" w:beforeAutospacing="1" w:afterAutospacing="1"/>
      <w:widowControl/>
    </w:pPr>
    <w:rPr>
      <w:rFonts w:eastAsia="Times New Roman"/>
      <w:sz w:val="24"/>
      <w:szCs w:val="24"/>
    </w:rPr>
  </w:style>
  <w:style w:type="paragraph" w:styleId="para4">
    <w:name w:val="List Paragraph"/>
    <w:qFormat/>
    <w:basedOn w:val="para0"/>
    <w:pPr>
      <w:ind w:left="720"/>
      <w:contextualSpacing/>
    </w:pPr>
  </w:style>
  <w:style w:type="character" w:styleId="char0" w:default="1">
    <w:name w:val="Default Paragraph Font"/>
  </w:style>
  <w:style w:type="character" w:styleId="char1" w:customStyle="1">
    <w:name w:val="Текст выноски Знак"/>
    <w:basedOn w:val="char0"/>
    <w:rPr>
      <w:rFonts w:ascii="Tahoma" w:hAnsi="Tahoma" w:eastAsia="SimSun" w:cs="Tahoma"/>
      <w:kern w:val="1"/>
      <w:sz w:val="16"/>
      <w:szCs w:val="16"/>
    </w:rPr>
  </w:style>
  <w:style w:type="character" w:styleId="char2">
    <w:name w:val="Hyperlink"/>
    <w:basedOn w:val="char0"/>
    <w:rPr>
      <w:color w:val="0000ff"/>
      <w:u w:color="auto" w:val="single"/>
    </w:rPr>
  </w:style>
  <w:style w:type="character" w:styleId="char3">
    <w:name w:val="FollowedHyperlink"/>
    <w:basedOn w:val="char0"/>
    <w:rPr>
      <w:color w:val="800080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png"/><Relationship Id="rId9" Type="http://schemas.openxmlformats.org/officeDocument/2006/relationships/image" Target="media/image2.wmf"/><Relationship Id="rId10" Type="http://schemas.openxmlformats.org/officeDocument/2006/relationships/oleObject" Target="embeddings/oleObject1.bin"/><Relationship Id="rId11" Type="http://schemas.openxmlformats.org/officeDocument/2006/relationships/image" Target="media/image3.wmf"/><Relationship Id="rId12" Type="http://schemas.openxmlformats.org/officeDocument/2006/relationships/oleObject" Target="embeddings/oleObject2.bin"/><Relationship Id="rId13" Type="http://schemas.openxmlformats.org/officeDocument/2006/relationships/image" Target="media/image4.wmf"/><Relationship Id="rId14" Type="http://schemas.openxmlformats.org/officeDocument/2006/relationships/oleObject" Target="embeddings/oleObject3.bin"/><Relationship Id="rId15" Type="http://schemas.openxmlformats.org/officeDocument/2006/relationships/image" Target="media/image5.wmf"/><Relationship Id="rId16" Type="http://schemas.openxmlformats.org/officeDocument/2006/relationships/oleObject" Target="embeddings/oleObject4.bin"/><Relationship Id="rId17" Type="http://schemas.openxmlformats.org/officeDocument/2006/relationships/image" Target="media/image6.png"/><Relationship Id="rId18" Type="http://schemas.openxmlformats.org/officeDocument/2006/relationships/hyperlink" Target="http://www.&#1087;&#1080;&#1092;&#1072;&#1075;&#1086;&#1088;&#1095;&#1080;&#1082;.&#1088;&#1092;" TargetMode="External"/><Relationship Id="rId19" Type="http://schemas.openxmlformats.org/officeDocument/2006/relationships/image" Target="media/image7.png"/><Relationship Id="rId20" Type="http://schemas.openxmlformats.org/officeDocument/2006/relationships/image" Target="media/image8.wmf"/><Relationship Id="rId21" Type="http://schemas.openxmlformats.org/officeDocument/2006/relationships/image" Target="media/image9.wmf"/><Relationship Id="rId22" Type="http://schemas.openxmlformats.org/officeDocument/2006/relationships/oleObject" Target="embeddings/oleObject5.bin"/><Relationship Id="rId23" Type="http://schemas.openxmlformats.org/officeDocument/2006/relationships/image" Target="media/image10.wmf"/><Relationship Id="rId24" Type="http://schemas.openxmlformats.org/officeDocument/2006/relationships/oleObject" Target="embeddings/oleObject6.bin"/><Relationship Id="rId25" Type="http://schemas.openxmlformats.org/officeDocument/2006/relationships/hyperlink" Target="https://math-oge.sdamgia.ru/" TargetMode="External"/><Relationship Id="rId26" Type="http://schemas.openxmlformats.org/officeDocument/2006/relationships/hyperlink" Target="https://math7-vpr.sdamgia.ru/" TargetMode="External"/><Relationship Id="rId27" Type="http://schemas.openxmlformats.org/officeDocument/2006/relationships/hyperlink" Target="http://&#1087;&#1080;&#1092;&#1072;&#1075;&#1086;&#1088;&#1095;&#1080;&#1082;.&#1088;&#1092;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/>
  <cp:revision>16</cp:revision>
  <dcterms:created xsi:type="dcterms:W3CDTF">2021-03-20T15:26:00Z</dcterms:created>
  <dcterms:modified xsi:type="dcterms:W3CDTF">2021-03-24T08:59:08Z</dcterms:modified>
</cp:coreProperties>
</file>