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contextualSpacing/>
        <w:jc w:val="center"/>
        <w:rPr/>
      </w:pPr>
      <w:r>
        <w:rPr>
          <w:b/>
          <w:sz w:val="40"/>
          <w:szCs w:val="22"/>
          <w:u w:val="single"/>
        </w:rPr>
        <w:t>ТЕМАТИЧЕСКИЙ ПЛАН</w:t>
      </w:r>
    </w:p>
    <w:p>
      <w:pPr>
        <w:pStyle w:val="Normal"/>
        <w:spacing w:lineRule="auto" w:line="240" w:before="0" w:after="0"/>
        <w:contextualSpacing/>
        <w:rPr>
          <w:b/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</w:r>
    </w:p>
    <w:p>
      <w:pPr>
        <w:pStyle w:val="Normal"/>
        <w:spacing w:lineRule="auto" w:line="240" w:before="0" w:after="0"/>
        <w:contextualSpacing/>
        <w:rPr>
          <w:b/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</w:r>
    </w:p>
    <w:p>
      <w:pPr>
        <w:pStyle w:val="Normal"/>
        <w:spacing w:lineRule="auto" w:line="240" w:before="0" w:after="0"/>
        <w:ind w:hanging="709"/>
        <w:contextualSpacing/>
        <w:rPr/>
      </w:pPr>
      <w:r>
        <w:rPr>
          <w:sz w:val="22"/>
          <w:szCs w:val="22"/>
        </w:rPr>
        <w:t>по дисциплине МДК 01.04</w:t>
      </w:r>
      <w:r>
        <w:rPr>
          <w:b/>
          <w:i/>
          <w:sz w:val="22"/>
          <w:szCs w:val="22"/>
          <w:u w:val="single"/>
        </w:rPr>
        <w:t xml:space="preserve">. Специальная техника                                                                   </w:t>
      </w:r>
    </w:p>
    <w:p>
      <w:pPr>
        <w:pStyle w:val="Normal"/>
        <w:spacing w:lineRule="auto" w:line="240" w:before="0" w:after="0"/>
        <w:contextualSpacing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40" w:before="0" w:after="0"/>
        <w:ind w:left="-851" w:hanging="0"/>
        <w:contextualSpacing/>
        <w:rPr/>
      </w:pPr>
      <w:r>
        <w:rPr>
          <w:sz w:val="22"/>
          <w:szCs w:val="22"/>
        </w:rPr>
        <w:tab/>
        <w:tab/>
        <w:tab/>
        <w:tab/>
        <w:tab/>
        <w:tab/>
        <w:tab/>
        <w:tab/>
        <w:tab/>
      </w:r>
    </w:p>
    <w:p>
      <w:pPr>
        <w:pStyle w:val="Normal"/>
        <w:spacing w:lineRule="auto" w:line="240" w:before="0" w:after="0"/>
        <w:ind w:left="-709" w:right="-1" w:hanging="0"/>
        <w:contextualSpacing/>
        <w:rPr/>
      </w:pPr>
      <w:r>
        <w:rPr>
          <w:sz w:val="22"/>
          <w:szCs w:val="22"/>
        </w:rPr>
        <w:t xml:space="preserve">Преподаватель  </w:t>
      </w:r>
      <w:r>
        <w:rPr>
          <w:b/>
          <w:i/>
          <w:sz w:val="22"/>
          <w:szCs w:val="22"/>
          <w:u w:val="single"/>
        </w:rPr>
        <w:t>Лебедев Александр Владимирович</w:t>
      </w:r>
      <w:r>
        <w:rPr>
          <w:sz w:val="22"/>
          <w:szCs w:val="22"/>
        </w:rPr>
        <w:t xml:space="preserve">  Протокол  № </w:t>
      </w:r>
      <w:r>
        <w:rPr>
          <w:b/>
          <w:i/>
          <w:sz w:val="22"/>
          <w:szCs w:val="22"/>
          <w:u w:val="single"/>
        </w:rPr>
        <w:t xml:space="preserve">10  </w:t>
      </w:r>
      <w:r>
        <w:rPr>
          <w:sz w:val="22"/>
          <w:szCs w:val="22"/>
        </w:rPr>
        <w:t>от  1</w:t>
      </w:r>
      <w:r>
        <w:rPr>
          <w:b/>
          <w:i/>
          <w:sz w:val="22"/>
          <w:szCs w:val="22"/>
          <w:u w:val="single"/>
        </w:rPr>
        <w:t>5 июня 2019г.</w:t>
      </w:r>
      <w:r>
        <w:rPr>
          <w:sz w:val="22"/>
          <w:szCs w:val="22"/>
        </w:rPr>
        <w:t xml:space="preserve"> </w:t>
      </w:r>
    </w:p>
    <w:p>
      <w:pPr>
        <w:pStyle w:val="Normal"/>
        <w:spacing w:lineRule="auto" w:line="240" w:before="0" w:after="0"/>
        <w:ind w:left="4248" w:hanging="0"/>
        <w:contextualSpacing/>
        <w:rPr/>
      </w:pPr>
      <w:r>
        <w:rPr>
          <w:sz w:val="22"/>
          <w:szCs w:val="22"/>
        </w:rPr>
        <w:tab/>
        <w:tab/>
      </w:r>
    </w:p>
    <w:tbl>
      <w:tblPr>
        <w:tblW w:w="10423" w:type="dxa"/>
        <w:jc w:val="left"/>
        <w:tblInd w:w="-72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5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644"/>
        <w:gridCol w:w="704"/>
        <w:gridCol w:w="1"/>
        <w:gridCol w:w="1002"/>
        <w:gridCol w:w="1"/>
        <w:gridCol w:w="1133"/>
        <w:gridCol w:w="1"/>
        <w:gridCol w:w="1133"/>
        <w:gridCol w:w="1"/>
        <w:gridCol w:w="848"/>
        <w:gridCol w:w="1"/>
        <w:gridCol w:w="854"/>
        <w:gridCol w:w="1"/>
        <w:gridCol w:w="852"/>
        <w:gridCol w:w="2"/>
        <w:gridCol w:w="853"/>
        <w:gridCol w:w="2"/>
        <w:gridCol w:w="1134"/>
        <w:gridCol w:w="2"/>
        <w:gridCol w:w="1252"/>
      </w:tblGrid>
      <w:tr>
        <w:trPr>
          <w:trHeight w:val="501" w:hRule="atLeast"/>
        </w:trPr>
        <w:tc>
          <w:tcPr>
            <w:tcW w:w="64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ind w:left="113" w:right="113" w:hanging="0"/>
              <w:contextualSpacing/>
              <w:jc w:val="center"/>
              <w:rPr/>
            </w:pPr>
            <w:r>
              <w:rPr>
                <w:sz w:val="20"/>
                <w:szCs w:val="20"/>
              </w:rPr>
              <w:t>курс</w:t>
            </w:r>
          </w:p>
        </w:tc>
        <w:tc>
          <w:tcPr>
            <w:tcW w:w="705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ind w:left="113" w:right="113" w:hanging="0"/>
              <w:contextualSpacing/>
              <w:jc w:val="center"/>
              <w:rPr/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семестра</w:t>
            </w:r>
          </w:p>
        </w:tc>
        <w:tc>
          <w:tcPr>
            <w:tcW w:w="1003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ind w:left="113" w:right="113" w:hanging="0"/>
              <w:contextualSpacing/>
              <w:jc w:val="center"/>
              <w:rPr/>
            </w:pPr>
            <w:r>
              <w:rPr>
                <w:sz w:val="20"/>
                <w:szCs w:val="20"/>
              </w:rPr>
              <w:t>Максимальная учебная  нагрузка</w:t>
            </w:r>
          </w:p>
          <w:p>
            <w:pPr>
              <w:pStyle w:val="Normal"/>
              <w:spacing w:lineRule="auto" w:line="240" w:before="0" w:after="0"/>
              <w:ind w:left="113" w:right="113" w:hanging="0"/>
              <w:contextualSpacing/>
              <w:jc w:val="center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(час.)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ind w:left="113" w:right="113" w:hanging="0"/>
              <w:contextualSpacing/>
              <w:jc w:val="center"/>
              <w:rPr/>
            </w:pPr>
            <w:r>
              <w:rPr>
                <w:sz w:val="20"/>
                <w:szCs w:val="20"/>
              </w:rPr>
              <w:t>Внеаудиторная (самостоятельная) нагрузка</w:t>
            </w:r>
          </w:p>
          <w:p>
            <w:pPr>
              <w:pStyle w:val="Normal"/>
              <w:spacing w:lineRule="auto" w:line="240" w:before="0" w:after="0"/>
              <w:ind w:left="113" w:right="113" w:hanging="0"/>
              <w:contextualSpacing/>
              <w:jc w:val="center"/>
              <w:rPr/>
            </w:pPr>
            <w:r>
              <w:rPr>
                <w:sz w:val="20"/>
                <w:szCs w:val="20"/>
              </w:rPr>
              <w:t xml:space="preserve">(час) 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ind w:left="113" w:right="113" w:hanging="0"/>
              <w:contextualSpacing/>
              <w:jc w:val="center"/>
              <w:rPr/>
            </w:pPr>
            <w:r>
              <w:rPr>
                <w:sz w:val="20"/>
                <w:szCs w:val="20"/>
              </w:rPr>
              <w:t>Обязательная аудиторная учебная  нагрузка</w:t>
            </w:r>
          </w:p>
          <w:p>
            <w:pPr>
              <w:pStyle w:val="Normal"/>
              <w:spacing w:lineRule="auto" w:line="240" w:before="0" w:after="0"/>
              <w:ind w:left="113" w:right="113" w:hanging="0"/>
              <w:contextualSpacing/>
              <w:jc w:val="center"/>
              <w:rPr/>
            </w:pPr>
            <w:r>
              <w:rPr>
                <w:sz w:val="20"/>
                <w:szCs w:val="20"/>
              </w:rPr>
              <w:t>(час.)</w:t>
            </w:r>
          </w:p>
        </w:tc>
        <w:tc>
          <w:tcPr>
            <w:tcW w:w="341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/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11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ind w:left="113" w:right="113" w:hanging="0"/>
              <w:contextualSpacing/>
              <w:jc w:val="center"/>
              <w:rPr/>
            </w:pPr>
            <w:r>
              <w:rPr>
                <w:sz w:val="20"/>
                <w:szCs w:val="20"/>
              </w:rPr>
              <w:t xml:space="preserve">Кол-во обязательных контрольных работ по программе </w:t>
            </w:r>
          </w:p>
        </w:tc>
        <w:tc>
          <w:tcPr>
            <w:tcW w:w="1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ind w:left="113" w:right="113" w:hanging="0"/>
              <w:contextualSpacing/>
              <w:jc w:val="center"/>
              <w:rPr/>
            </w:pPr>
            <w:r>
              <w:rPr>
                <w:sz w:val="20"/>
                <w:szCs w:val="20"/>
              </w:rPr>
              <w:t>Форма промежуточной аттестации</w:t>
            </w:r>
          </w:p>
        </w:tc>
      </w:tr>
      <w:tr>
        <w:trPr>
          <w:trHeight w:val="1510" w:hRule="exact"/>
          <w:cantSplit w:val="true"/>
        </w:trPr>
        <w:tc>
          <w:tcPr>
            <w:tcW w:w="64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705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3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ind w:left="113" w:right="113" w:hanging="0"/>
              <w:contextualSpacing/>
              <w:jc w:val="center"/>
              <w:rPr/>
            </w:pPr>
            <w:r>
              <w:rPr>
                <w:sz w:val="20"/>
                <w:szCs w:val="20"/>
              </w:rPr>
              <w:t>Занятия на уроках</w:t>
            </w:r>
          </w:p>
          <w:p>
            <w:pPr>
              <w:pStyle w:val="Normal"/>
              <w:spacing w:lineRule="auto" w:line="240" w:before="0" w:after="0"/>
              <w:ind w:left="113" w:right="113" w:hanging="0"/>
              <w:contextualSpacing/>
              <w:jc w:val="center"/>
              <w:rPr/>
            </w:pPr>
            <w:r>
              <w:rPr>
                <w:sz w:val="20"/>
                <w:szCs w:val="20"/>
              </w:rPr>
              <w:t>(час.)</w:t>
            </w:r>
          </w:p>
        </w:tc>
        <w:tc>
          <w:tcPr>
            <w:tcW w:w="85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ind w:left="113" w:right="113" w:hanging="0"/>
              <w:contextualSpacing/>
              <w:jc w:val="center"/>
              <w:rPr/>
            </w:pPr>
            <w:r>
              <w:rPr>
                <w:sz w:val="20"/>
                <w:szCs w:val="20"/>
              </w:rPr>
              <w:t>Лабораторные работы (час.)</w:t>
            </w:r>
          </w:p>
        </w:tc>
        <w:tc>
          <w:tcPr>
            <w:tcW w:w="85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ind w:left="113" w:right="113" w:hanging="0"/>
              <w:contextualSpacing/>
              <w:jc w:val="center"/>
              <w:rPr/>
            </w:pPr>
            <w:r>
              <w:rPr>
                <w:sz w:val="20"/>
                <w:szCs w:val="20"/>
              </w:rPr>
              <w:t>Практические занятия (час.)</w:t>
            </w:r>
          </w:p>
        </w:tc>
        <w:tc>
          <w:tcPr>
            <w:tcW w:w="85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spacing w:lineRule="auto" w:line="240" w:before="0" w:after="0"/>
              <w:ind w:left="113" w:right="113" w:hanging="0"/>
              <w:contextualSpacing/>
              <w:jc w:val="center"/>
              <w:rPr/>
            </w:pPr>
            <w:r>
              <w:rPr>
                <w:sz w:val="20"/>
                <w:szCs w:val="20"/>
              </w:rPr>
              <w:t>Курсовое проектирование (час.)</w:t>
            </w:r>
          </w:p>
        </w:tc>
        <w:tc>
          <w:tcPr>
            <w:tcW w:w="11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00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8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85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5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bookmarkStart w:id="0" w:name="__DdeLink__3891_1344731286"/>
            <w:bookmarkEnd w:id="0"/>
            <w:r>
              <w:rPr>
                <w:sz w:val="24"/>
                <w:szCs w:val="24"/>
              </w:rPr>
              <w:t>Д/З</w:t>
            </w:r>
          </w:p>
        </w:tc>
      </w:tr>
      <w:tr>
        <w:trPr/>
        <w:tc>
          <w:tcPr>
            <w:tcW w:w="13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              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100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8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85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85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5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Д/З</w:t>
            </w:r>
          </w:p>
        </w:tc>
      </w:tr>
      <w:tr>
        <w:trPr/>
        <w:tc>
          <w:tcPr>
            <w:tcW w:w="13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Всего:</w:t>
            </w:r>
          </w:p>
        </w:tc>
        <w:tc>
          <w:tcPr>
            <w:tcW w:w="100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156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116</w:t>
            </w:r>
          </w:p>
        </w:tc>
        <w:tc>
          <w:tcPr>
            <w:tcW w:w="8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85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85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5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Д/З</w:t>
            </w:r>
          </w:p>
        </w:tc>
      </w:tr>
    </w:tbl>
    <w:p>
      <w:pPr>
        <w:pStyle w:val="Normal"/>
        <w:spacing w:lineRule="auto" w:line="240" w:before="0" w:after="0"/>
        <w:ind w:left="-709" w:hanging="0"/>
        <w:contextualSpacing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40" w:before="0" w:after="0"/>
        <w:ind w:left="-709" w:hanging="0"/>
        <w:contextualSpacing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40" w:before="0" w:after="0"/>
        <w:ind w:left="-709" w:hanging="0"/>
        <w:contextualSpacing/>
        <w:rPr/>
      </w:pPr>
      <w:r>
        <w:rPr>
          <w:b/>
          <w:bCs/>
          <w:sz w:val="22"/>
          <w:szCs w:val="22"/>
        </w:rPr>
        <w:t xml:space="preserve">Председатель предметной (цикловой) комиссии _____________ </w:t>
      </w:r>
      <w:r>
        <w:rPr>
          <w:b/>
          <w:bCs/>
          <w:i/>
          <w:sz w:val="22"/>
          <w:szCs w:val="22"/>
        </w:rPr>
        <w:t>Д</w:t>
      </w:r>
      <w:r>
        <w:rPr>
          <w:b/>
          <w:bCs/>
          <w:i/>
          <w:sz w:val="22"/>
          <w:szCs w:val="22"/>
          <w:u w:val="single"/>
        </w:rPr>
        <w:t>. Ю. Карпухин</w:t>
      </w:r>
    </w:p>
    <w:p>
      <w:pPr>
        <w:pStyle w:val="Normal"/>
        <w:spacing w:lineRule="auto" w:line="240" w:before="0" w:after="0"/>
        <w:contextualSpacing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  <w:bookmarkStart w:id="1" w:name="__DdeLink__9593_1802391363"/>
      <w:bookmarkStart w:id="2" w:name="__DdeLink__9593_1802391363"/>
      <w:bookmarkEnd w:id="2"/>
    </w:p>
    <w:p>
      <w:pPr>
        <w:pStyle w:val="Normal"/>
        <w:spacing w:lineRule="auto" w:line="240" w:before="0" w:after="0"/>
        <w:ind w:hanging="709"/>
        <w:contextualSpacing/>
        <w:jc w:val="center"/>
        <w:rPr>
          <w:b/>
          <w:b/>
          <w:bCs/>
          <w:szCs w:val="24"/>
        </w:rPr>
      </w:pPr>
      <w:r>
        <w:rPr>
          <w:b/>
          <w:bCs/>
          <w:szCs w:val="24"/>
        </w:rPr>
      </w:r>
      <w:bookmarkStart w:id="3" w:name="__DdeLink__9593_18023913631"/>
      <w:bookmarkStart w:id="4" w:name="__DdeLink__9593_18023913631"/>
      <w:bookmarkEnd w:id="4"/>
    </w:p>
    <w:p>
      <w:pPr>
        <w:pStyle w:val="Normal"/>
        <w:spacing w:lineRule="auto" w:line="240" w:before="0" w:after="0"/>
        <w:jc w:val="center"/>
        <w:rPr>
          <w:b/>
          <w:b/>
          <w:bCs/>
          <w:szCs w:val="24"/>
        </w:rPr>
      </w:pPr>
      <w:r>
        <w:rPr>
          <w:b/>
          <w:bCs/>
          <w:szCs w:val="24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  <w:szCs w:val="24"/>
        </w:rPr>
      </w:pPr>
      <w:r>
        <w:rPr>
          <w:b/>
          <w:bCs/>
          <w:szCs w:val="24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  <w:szCs w:val="24"/>
        </w:rPr>
      </w:pPr>
      <w:r>
        <w:rPr>
          <w:b/>
          <w:bCs/>
          <w:szCs w:val="24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  <w:szCs w:val="24"/>
        </w:rPr>
      </w:pPr>
      <w:r>
        <w:rPr>
          <w:b/>
          <w:bCs/>
          <w:szCs w:val="24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  <w:szCs w:val="24"/>
        </w:rPr>
      </w:pPr>
      <w:r>
        <w:rPr>
          <w:b/>
          <w:bCs/>
          <w:szCs w:val="24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  <w:szCs w:val="24"/>
        </w:rPr>
      </w:pPr>
      <w:r>
        <w:rPr>
          <w:b/>
          <w:bCs/>
          <w:szCs w:val="24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  <w:szCs w:val="24"/>
        </w:rPr>
      </w:pPr>
      <w:r>
        <w:rPr>
          <w:b/>
          <w:bCs/>
          <w:szCs w:val="24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  <w:szCs w:val="24"/>
        </w:rPr>
      </w:pPr>
      <w:r>
        <w:rPr>
          <w:b/>
          <w:bCs/>
          <w:szCs w:val="24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  <w:szCs w:val="24"/>
        </w:rPr>
      </w:pPr>
      <w:r>
        <w:rPr>
          <w:b/>
          <w:bCs/>
          <w:szCs w:val="24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  <w:szCs w:val="24"/>
        </w:rPr>
      </w:pPr>
      <w:r>
        <w:rPr>
          <w:b/>
          <w:bCs/>
          <w:szCs w:val="24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  <w:szCs w:val="24"/>
        </w:rPr>
      </w:pPr>
      <w:r>
        <w:rPr>
          <w:b/>
          <w:bCs/>
          <w:szCs w:val="24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  <w:szCs w:val="24"/>
        </w:rPr>
      </w:pPr>
      <w:r>
        <w:rPr>
          <w:b/>
          <w:bCs/>
          <w:szCs w:val="24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  <w:szCs w:val="24"/>
        </w:rPr>
      </w:pPr>
      <w:r>
        <w:rPr>
          <w:b/>
          <w:bCs/>
          <w:szCs w:val="24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  <w:szCs w:val="24"/>
        </w:rPr>
      </w:pPr>
      <w:r>
        <w:rPr>
          <w:b/>
          <w:bCs/>
          <w:szCs w:val="24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  <w:szCs w:val="24"/>
        </w:rPr>
      </w:pPr>
      <w:r>
        <w:rPr>
          <w:b/>
          <w:bCs/>
          <w:szCs w:val="24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  <w:szCs w:val="24"/>
        </w:rPr>
      </w:pPr>
      <w:r>
        <w:rPr>
          <w:b/>
          <w:bCs/>
          <w:szCs w:val="24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  <w:szCs w:val="24"/>
        </w:rPr>
      </w:pPr>
      <w:r>
        <w:rPr>
          <w:b/>
          <w:bCs/>
          <w:szCs w:val="24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  <w:szCs w:val="24"/>
        </w:rPr>
      </w:pPr>
      <w:r>
        <w:rPr>
          <w:b/>
          <w:bCs/>
          <w:szCs w:val="24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  <w:szCs w:val="24"/>
        </w:rPr>
      </w:pPr>
      <w:r>
        <w:rPr>
          <w:b/>
          <w:bCs/>
          <w:szCs w:val="24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  <w:szCs w:val="24"/>
        </w:rPr>
      </w:pPr>
      <w:r>
        <w:rPr>
          <w:b/>
          <w:bCs/>
          <w:szCs w:val="24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  <w:szCs w:val="24"/>
        </w:rPr>
      </w:pPr>
      <w:r>
        <w:rPr>
          <w:b/>
          <w:bCs/>
          <w:szCs w:val="24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  <w:szCs w:val="24"/>
        </w:rPr>
      </w:pPr>
      <w:r>
        <w:rPr>
          <w:b/>
          <w:bCs/>
          <w:szCs w:val="24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  <w:szCs w:val="24"/>
        </w:rPr>
      </w:pPr>
      <w:r>
        <w:rPr>
          <w:b/>
          <w:bCs/>
          <w:szCs w:val="24"/>
          <w:lang w:val="en-US"/>
        </w:rPr>
        <w:t>II</w:t>
      </w:r>
      <w:r>
        <w:rPr>
          <w:b/>
          <w:bCs/>
          <w:szCs w:val="24"/>
        </w:rPr>
        <w:t>. Содержание календарно-тематического плана</w:t>
      </w:r>
    </w:p>
    <w:p>
      <w:pPr>
        <w:pStyle w:val="Normal"/>
        <w:spacing w:lineRule="auto" w:line="240" w:before="0" w:after="0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tbl>
      <w:tblPr>
        <w:tblW w:w="10380" w:type="dxa"/>
        <w:jc w:val="left"/>
        <w:tblInd w:w="-96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33" w:type="dxa"/>
          <w:bottom w:w="0" w:type="dxa"/>
          <w:right w:w="108" w:type="dxa"/>
        </w:tblCellMar>
        <w:tblLook w:noVBand="0" w:val="00a0" w:noHBand="0" w:lastColumn="0" w:firstColumn="1" w:lastRow="0" w:firstRow="1"/>
      </w:tblPr>
      <w:tblGrid>
        <w:gridCol w:w="849"/>
        <w:gridCol w:w="2289"/>
        <w:gridCol w:w="833"/>
        <w:gridCol w:w="849"/>
        <w:gridCol w:w="2"/>
        <w:gridCol w:w="1415"/>
        <w:gridCol w:w="2"/>
        <w:gridCol w:w="1426"/>
        <w:gridCol w:w="2"/>
        <w:gridCol w:w="1421"/>
        <w:gridCol w:w="1290"/>
      </w:tblGrid>
      <w:tr>
        <w:trPr/>
        <w:tc>
          <w:tcPr>
            <w:tcW w:w="84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№ </w:t>
            </w:r>
            <w:r>
              <w:rPr>
                <w:b/>
                <w:bCs/>
                <w:sz w:val="20"/>
                <w:szCs w:val="20"/>
              </w:rPr>
              <w:t>занятия</w:t>
            </w:r>
          </w:p>
        </w:tc>
        <w:tc>
          <w:tcPr>
            <w:tcW w:w="228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 разделов, МДК, тем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профессионального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модуля, дисциплины</w:t>
            </w:r>
          </w:p>
        </w:tc>
        <w:tc>
          <w:tcPr>
            <w:tcW w:w="16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Количество часов</w:t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Вид занятий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Материально-техническое обеспечение занятия, Интернет – ресурсы, дистанционные технологии, электронное обучение</w:t>
            </w:r>
          </w:p>
        </w:tc>
        <w:tc>
          <w:tcPr>
            <w:tcW w:w="271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Задания для обучающихся</w:t>
            </w:r>
          </w:p>
        </w:tc>
      </w:tr>
      <w:tr>
        <w:trPr/>
        <w:tc>
          <w:tcPr>
            <w:tcW w:w="84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228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аудиторных занятий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внеаудиторной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(самостоятельной) работы</w:t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Виды внеаудиторной (самостоятельной) работы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Основная и дополнительная литература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6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71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Тема 1. 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Основы применения специальных технических средств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Законодательство о применении специальных техсредств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>
                <w:sz w:val="20"/>
              </w:rPr>
              <w:t>работа с нормативной и справочной литературой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21-34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Законодательство о применении специальных техсредств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>
                <w:sz w:val="20"/>
              </w:rPr>
              <w:t>работа с нормативной и справочной литературой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21-34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Ведомственные нормативные акты, регулирующие применение специальных техсредств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35-40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Ведомственные нормативные акты, регулирующие применение специальных техсредств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35-40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ListParagraph"/>
              <w:tabs>
                <w:tab w:val="left" w:pos="6585" w:leader="none"/>
              </w:tabs>
              <w:spacing w:lineRule="auto" w:line="240" w:before="0" w:after="0"/>
              <w:ind w:left="0" w:hanging="51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ПР1 Правовая основа применения специальной техники в деятельности ОВД.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21-40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ListParagraph"/>
              <w:tabs>
                <w:tab w:val="left" w:pos="6585" w:leader="none"/>
              </w:tabs>
              <w:spacing w:lineRule="auto" w:line="240" w:before="0" w:after="0"/>
              <w:ind w:left="0" w:hanging="51"/>
              <w:contextualSpacing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ПР1 Правовая основа применения специальной техники в деятельности ОВД.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21-40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Тема2.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Применение специальных средств сотрудниками правоохранительных органов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Положения применения спецсредств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>
                <w:sz w:val="20"/>
              </w:rPr>
              <w:t>работа с нормативной и справочной литературой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43-45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Положения применения спецсредств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>
                <w:sz w:val="20"/>
              </w:rPr>
              <w:t>работа с нормативной и справочной литературой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43-45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Применение спецсредств сотрудниками МВД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45-52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Применение спецсредств сотрудниками МВД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45-52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ПР2 Применение спецсредств сотрудниками МВД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45-52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ПР2 Применение спецсредств сотрудниками МВД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45-52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Применение спецсредств сотрудниками УИС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52-60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Применение спецсредств сотрудниками УИС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52-60</w:t>
            </w:r>
          </w:p>
        </w:tc>
      </w:tr>
      <w:tr>
        <w:trPr>
          <w:trHeight w:val="273" w:hRule="atLeast"/>
        </w:trPr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15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ПР 3 Применение спецсредств сотрудниками УИС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52-60</w:t>
            </w:r>
          </w:p>
        </w:tc>
      </w:tr>
      <w:tr>
        <w:trPr>
          <w:trHeight w:val="273" w:hRule="atLeast"/>
        </w:trPr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ПР 3 Применение спецсредств сотрудниками УИС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52-60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ПР4 Законодательные ограничения в отношении применения специальных средств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57-59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ПР4 Законодательные ограничения в отношении применения специальных средств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57-59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Тема 3.</w:t>
            </w:r>
          </w:p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Средства индивидуальной бронезащиты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19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Средства индивидуальной бронезащиты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>
                <w:sz w:val="20"/>
              </w:rPr>
              <w:t>работа с нормативной и справочной литературой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60-66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Средства индивидуальной бронезащиты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>
                <w:sz w:val="20"/>
              </w:rPr>
              <w:t>работа с нормативной и справочной литературой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60-66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Современные защитные жилеты и куртки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66-70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Современные защитные жилеты и куртки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66-70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23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Современные бронешлемы и щиты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70-75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Современные бронешлемы и щиты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70-75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25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ПР5 Характеристики средств бронезащиты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60-66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ПР5 Характеристики средств бронезащиты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60-66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27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ПР6 Противопульные штурмовые щиты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70-75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ПР6 Противопульные штурмовые щиты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70-75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29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ПР7 Комплекты средств индивидуальной бронезащиты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75-79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ПР7 Комплекты средств индивидуальной бронезащиты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75-79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Тема 4.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Специальные средства активной обороны и обеспечения специальных операций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31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Спецсредства активной обороны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sz w:val="20"/>
              </w:rPr>
              <w:t>работа с нормативной и справочной литературой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79-83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Спецсредства активной обороны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20"/>
              </w:rPr>
              <w:t>работа с нормативной и справочной литературой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79-83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33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ПР8 Спецсредства активной обороны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79-83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ПР8 Спецсредства активной обороны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79-83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35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Средства обеспечения спецопераций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>
                <w:sz w:val="20"/>
              </w:rPr>
              <w:t>работа с нормативной и справочной литературой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83-89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Средства обеспечения спецопераций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>
                <w:sz w:val="20"/>
              </w:rPr>
              <w:t>работа с нормативной и справочной литературой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83-89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37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ПР9 </w:t>
            </w:r>
            <w:r>
              <w:rPr>
                <w:sz w:val="20"/>
                <w:szCs w:val="20"/>
                <w:lang w:eastAsia="ru-RU"/>
              </w:rPr>
              <w:t>Средства обеспечения спецопераций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83-89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Cs/>
                <w:sz w:val="20"/>
                <w:szCs w:val="20"/>
              </w:rPr>
              <w:t xml:space="preserve">ПР9 </w:t>
            </w:r>
            <w:r>
              <w:rPr>
                <w:sz w:val="20"/>
                <w:szCs w:val="20"/>
                <w:lang w:eastAsia="ru-RU"/>
              </w:rPr>
              <w:t>Средства обеспечения спецопераций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83-89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39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>Виды средств нелетального действия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>
                <w:sz w:val="20"/>
              </w:rPr>
              <w:t>работа с нормативной и справочной литературой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89-97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20"/>
                <w:szCs w:val="20"/>
                <w:lang w:eastAsia="ru-RU"/>
              </w:rPr>
              <w:t>Виды средств нелетального действия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>
                <w:sz w:val="20"/>
              </w:rPr>
              <w:t>работа с нормативной и справочной литературой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89-97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Тема 5.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Средства охранно-пожарной сигнализации и мер пожарной безопасности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41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Системы охранно-пожарной сигнализации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98-105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Системы охранно-пожарной сигнализации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98-105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43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Системы защиты внешнего периметра объекта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105-114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Системы защиты внешнего периметра объекта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105-114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ПР10 </w:t>
            </w:r>
            <w:r>
              <w:rPr>
                <w:sz w:val="20"/>
                <w:szCs w:val="20"/>
                <w:lang w:eastAsia="ru-RU"/>
              </w:rPr>
              <w:t>Технические средства защиты внешнего периметра объекта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105-114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Cs/>
                <w:sz w:val="20"/>
                <w:szCs w:val="20"/>
              </w:rPr>
              <w:t xml:space="preserve">ПР10 </w:t>
            </w:r>
            <w:r>
              <w:rPr>
                <w:sz w:val="20"/>
                <w:szCs w:val="20"/>
                <w:lang w:eastAsia="ru-RU"/>
              </w:rPr>
              <w:t>Технические средства защиты внешнего периметра объекта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105-114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47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 xml:space="preserve">Зачет 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Контрольно-учетный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/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 xml:space="preserve">Зачет 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Контрольно-учетный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/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Тема 6.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Технические средства защиты информации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49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Понятие защиты информации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120-125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Понятие защиты информации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120-125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51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Несанкционированный доступ к информационным ресурсам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>
                <w:sz w:val="20"/>
              </w:rPr>
              <w:t>работа с нормативной и справочной литературой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125-131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Несанкционированный доступ к информационным ресурсам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>
                <w:sz w:val="20"/>
              </w:rPr>
              <w:t>работа с нормативной и справочной литературой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125-131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53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/>
                <w:sz w:val="2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pacing w:val="-1"/>
                <w:sz w:val="20"/>
                <w:szCs w:val="24"/>
              </w:rPr>
              <w:t>ПР11 Факторы, влияющие на утечку информации.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120-125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eastAsia="Times New Roman"/>
                <w:color w:val="000000"/>
                <w:spacing w:val="-1"/>
                <w:sz w:val="20"/>
                <w:szCs w:val="24"/>
              </w:rPr>
              <w:t>ПР11 Факторы, влияющие на утечку информации.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120-125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55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/>
                <w:sz w:val="2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pacing w:val="-1"/>
                <w:sz w:val="20"/>
                <w:szCs w:val="24"/>
              </w:rPr>
              <w:t>ПР12 Методы и технические средства обеспечения безопасности информации.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125-131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eastAsia="Times New Roman"/>
                <w:color w:val="000000"/>
                <w:spacing w:val="-1"/>
                <w:sz w:val="20"/>
                <w:szCs w:val="24"/>
              </w:rPr>
              <w:t>ПР12 Методы и технические средства обеспечения безопасности информации.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125-131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Тема 7.</w:t>
            </w:r>
          </w:p>
          <w:p>
            <w:pPr>
              <w:pStyle w:val="Normal"/>
              <w:spacing w:before="0" w:after="0"/>
              <w:jc w:val="center"/>
              <w:rPr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Поисковые технические средства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57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Поисковые средства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  <w:t>работа с нормативной и справочной литературой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141-144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Поисковые средства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20"/>
              </w:rPr>
              <w:t>работа с нормативной и справочной литературой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141-144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ПР13 Поисковая техника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144-148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60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ПР13 Поисковая техника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144-148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61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Приборы для поиска и идентификации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153-160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Приборы для поиска и идентификации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153-160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63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>Средства контроля и досмотра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>
                <w:sz w:val="20"/>
              </w:rPr>
              <w:t>работа с нормативной и справочной литературой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160-166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20"/>
                <w:szCs w:val="20"/>
                <w:lang w:eastAsia="ru-RU"/>
              </w:rPr>
              <w:t>Средства контроля и досмотра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>
                <w:sz w:val="20"/>
              </w:rPr>
              <w:t>работа с нормативной и справочной литературой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160-166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ПР14 Средства контроля и досмотра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160-166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ПР14 Средства контроля и досмотра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160-166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Тема 8.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Технические средства контроля и управления доступом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67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Системы контроля и управления доступом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>
                <w:sz w:val="20"/>
              </w:rPr>
              <w:t>работа с нормативной и справочной литературой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166-169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Системы контроля и управления доступом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>
                <w:sz w:val="20"/>
              </w:rPr>
              <w:t>работа с нормативной и справочной литературой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166-169</w:t>
            </w:r>
          </w:p>
        </w:tc>
      </w:tr>
      <w:tr>
        <w:trPr>
          <w:trHeight w:val="1227" w:hRule="atLeast"/>
        </w:trPr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69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Элементы систем контроля и управления доступом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>
                <w:sz w:val="20"/>
              </w:rPr>
              <w:t>работа с нормативной и справочной литературой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169-178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Элементы систем контроля и управления доступом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>
                <w:sz w:val="20"/>
              </w:rPr>
              <w:t>работа с нормативной и справочной литературой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169-178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71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ПР15 Технология применения систем контроля и управления доступом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178-185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ПР15 Технология применения систем контроля и управления доступом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178-185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Тема 9.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Современные технические средства наблюдения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73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Системы видеонаблюдения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185-191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Системы видеонаблюдения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185-191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75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ПР16 Системы видеонаблюдения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185-191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ПР16 Системы видеонаблюдения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185-191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77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Телевизионное наблюдение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191-195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Телевизионное наблюдение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191-195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79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ПР17 Телевизионное наблюдение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191-195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ПР17 Телевизионное наблюдение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191-195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81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Непосредственное наблюдение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>
                <w:sz w:val="20"/>
              </w:rPr>
              <w:t>работа с нормативной и справочной литературой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195-198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Непосредственное наблюдение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>
                <w:sz w:val="20"/>
              </w:rPr>
              <w:t>работа с нормативной и справочной литературой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195-198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83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ПР18 Непосредственное наблюдение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195-198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ПР18 Непосредственное наблюдение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195-198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Тема 10.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Специальные химические вещества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85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Специальные химические вещества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>
                <w:sz w:val="20"/>
              </w:rPr>
              <w:t>работа с нормативной и справочной литературой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198-200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Специальные химические вещества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>
                <w:sz w:val="20"/>
              </w:rPr>
              <w:t>работа с нормативной и справочной литературой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198-200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87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Классификация спецхимвеществ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200-205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Классификация спецхимвеществ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200-205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Маркировка объектов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211-213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Маркировка объектов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211-213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91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ПР19 Химические ловушки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205-211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ПР19 Химические ловушки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205-211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93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ПР20 Средства маркировки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211-213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ПР20 Средства маркировки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211-213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95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ПР21 Документальное оформление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213-217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96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ПР21 Документальное оформление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213-217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Тема 11.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Техническое оснащение оперативно-розыскного производства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97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Оперативно-розыскное производство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>
                <w:sz w:val="20"/>
              </w:rPr>
              <w:t>работа с нормативной и справочной литературой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218-220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98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Оперативно-розыскное производство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>
                <w:sz w:val="20"/>
              </w:rPr>
              <w:t>работа с нормативной и справочной литературой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218-220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99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Технические средства обеспечения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220-224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Технические средства обеспечения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220-224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101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ПР22 Технические средства обеспечения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220-224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102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ПР22 Технические средства обеспечения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220-224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103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ПР23 Полиграф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224-228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104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ПР23 Полиграф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224-228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105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>Противодействие техническим средствам разведки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228-233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106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Противодействие техническим средствам разведки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228-233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107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ПР24 Противодействие техническим средствам разведки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228-233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108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ПР24 Противодействие техническим средствам разведки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228-233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/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Тема 12.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Совершенствование спецтехники правоохранительных органов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bookmarkStart w:id="5" w:name="_GoBack"/>
            <w:bookmarkStart w:id="6" w:name="_GoBack"/>
            <w:bookmarkEnd w:id="6"/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109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Совершенствование спецтехники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>
                <w:bCs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234-235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Совершенствование спецтехники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234-235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111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Перспективные направления техсредств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234-235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112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Перспективные направления техсредств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комбинированный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lineRule="auto" w:line="240"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234-235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113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ПР25Перспективные направления техсредств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20"/>
                <w:szCs w:val="20"/>
              </w:rPr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234-235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114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ПР25Перспективные направления техсредств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практическое занятие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rFonts w:eastAsia="Calibri"/>
                <w:color w:val="000000"/>
                <w:sz w:val="20"/>
                <w:szCs w:val="20"/>
              </w:rPr>
              <w:t>Учебная литература,</w:t>
            </w:r>
          </w:p>
          <w:p>
            <w:pPr>
              <w:pStyle w:val="C4"/>
              <w:shd w:val="clear" w:color="auto" w:fill="FFFFFF"/>
              <w:spacing w:beforeAutospacing="0" w:before="0" w:afterAutospacing="0" w:after="0"/>
              <w:rPr/>
            </w:pPr>
            <w:r>
              <w:rPr>
                <w:rStyle w:val="C0"/>
                <w:color w:val="000000"/>
                <w:sz w:val="20"/>
                <w:szCs w:val="20"/>
              </w:rPr>
              <w:t>ноутбук,     проектор, экран</w:t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</w:t>
            </w:r>
          </w:p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Стр. 234-235</w:t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115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Зачет 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Контрольно-учетный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</w:tr>
      <w:tr>
        <w:trPr/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116</w:t>
            </w:r>
          </w:p>
        </w:tc>
        <w:tc>
          <w:tcPr>
            <w:tcW w:w="22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 xml:space="preserve">Зачет 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14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Контрольно-учетный урок</w:t>
            </w:r>
          </w:p>
        </w:tc>
        <w:tc>
          <w:tcPr>
            <w:tcW w:w="14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C4"/>
              <w:shd w:val="clear" w:color="auto" w:fill="FFFFFF"/>
              <w:spacing w:beforeAutospacing="0" w:before="0" w:afterAutospacing="0" w:after="0"/>
              <w:rPr>
                <w:rStyle w:val="C0"/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</w:r>
          </w:p>
        </w:tc>
        <w:tc>
          <w:tcPr>
            <w:tcW w:w="14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</w:tr>
    </w:tbl>
    <w:p>
      <w:pPr>
        <w:pStyle w:val="Normal"/>
        <w:rPr>
          <w:rFonts w:cs="" w:cstheme="minorBidi"/>
          <w:sz w:val="22"/>
          <w:szCs w:val="22"/>
        </w:rPr>
      </w:pPr>
      <w:r>
        <w:rPr>
          <w:rFonts w:cs="" w:cstheme="minorBidi"/>
          <w:sz w:val="22"/>
          <w:szCs w:val="22"/>
        </w:rPr>
      </w:r>
      <w:r>
        <w:br w:type="page"/>
      </w:r>
    </w:p>
    <w:p>
      <w:pPr>
        <w:pStyle w:val="Normal"/>
        <w:tabs>
          <w:tab w:val="left" w:pos="4680" w:leader="none"/>
        </w:tabs>
        <w:spacing w:lineRule="auto" w:line="240" w:before="0" w:after="0"/>
        <w:jc w:val="center"/>
        <w:rPr>
          <w:b/>
          <w:b/>
          <w:bCs/>
        </w:rPr>
      </w:pPr>
      <w:r>
        <w:rPr>
          <w:b/>
          <w:lang w:val="en-US"/>
        </w:rPr>
        <w:t>III</w:t>
      </w:r>
      <w:r>
        <w:rPr>
          <w:b/>
        </w:rPr>
        <w:t xml:space="preserve">. </w:t>
      </w:r>
      <w:r>
        <w:rPr>
          <w:b/>
          <w:bCs/>
        </w:rPr>
        <w:t>Используемая литература</w:t>
      </w:r>
    </w:p>
    <w:p>
      <w:pPr>
        <w:pStyle w:val="Normal"/>
        <w:tabs>
          <w:tab w:val="left" w:pos="4680" w:leader="none"/>
        </w:tabs>
        <w:spacing w:lineRule="auto" w:line="240" w:before="0" w:after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tabs>
          <w:tab w:val="left" w:pos="4680" w:leader="none"/>
        </w:tabs>
        <w:spacing w:lineRule="auto" w:line="240" w:before="0" w:after="0"/>
        <w:jc w:val="center"/>
        <w:rPr>
          <w:b/>
          <w:b/>
          <w:bCs/>
        </w:rPr>
      </w:pPr>
      <w:r>
        <w:rPr>
          <w:b/>
          <w:bCs/>
        </w:rPr>
        <w:t xml:space="preserve">Основная </w:t>
      </w:r>
    </w:p>
    <w:tbl>
      <w:tblPr>
        <w:tblW w:w="9320" w:type="dxa"/>
        <w:jc w:val="left"/>
        <w:tblInd w:w="-72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2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671"/>
        <w:gridCol w:w="4112"/>
        <w:gridCol w:w="2269"/>
        <w:gridCol w:w="2267"/>
      </w:tblGrid>
      <w:tr>
        <w:trPr/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tLeast" w:line="100" w:before="0" w:after="0"/>
              <w:jc w:val="center"/>
              <w:rPr>
                <w:color w:val="000000"/>
                <w:spacing w:val="6"/>
                <w:sz w:val="24"/>
                <w:szCs w:val="24"/>
              </w:rPr>
            </w:pPr>
            <w:r>
              <w:rPr>
                <w:color w:val="000000"/>
                <w:spacing w:val="6"/>
                <w:sz w:val="24"/>
                <w:szCs w:val="24"/>
              </w:rPr>
              <w:t>Наименование</w:t>
            </w:r>
          </w:p>
        </w:tc>
        <w:tc>
          <w:tcPr>
            <w:tcW w:w="2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tLeast" w:line="10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Автор</w:t>
            </w:r>
          </w:p>
        </w:tc>
        <w:tc>
          <w:tcPr>
            <w:tcW w:w="22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tLeast" w:line="10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Издательство и год издания</w:t>
            </w:r>
          </w:p>
        </w:tc>
      </w:tr>
      <w:tr>
        <w:trPr/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tabs>
                <w:tab w:val="left" w:pos="284" w:leader="none"/>
                <w:tab w:val="left" w:pos="930" w:leader="none"/>
              </w:tabs>
              <w:spacing w:before="0" w:after="0"/>
              <w:jc w:val="both"/>
              <w:rPr>
                <w:sz w:val="22"/>
                <w:szCs w:val="24"/>
              </w:rPr>
            </w:pPr>
            <w:r>
              <w:rPr>
                <w:sz w:val="24"/>
              </w:rPr>
              <w:t xml:space="preserve">Специальная техника: учеб.- метод. пособие  </w:t>
            </w:r>
          </w:p>
        </w:tc>
        <w:tc>
          <w:tcPr>
            <w:tcW w:w="2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tLeast" w:line="100" w:before="0" w:after="0"/>
              <w:rPr>
                <w:sz w:val="22"/>
                <w:szCs w:val="24"/>
              </w:rPr>
            </w:pPr>
            <w:r>
              <w:rPr>
                <w:sz w:val="24"/>
              </w:rPr>
              <w:t>Е.Н. Быстряков</w:t>
            </w:r>
          </w:p>
        </w:tc>
        <w:tc>
          <w:tcPr>
            <w:tcW w:w="22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tLeast" w:line="100" w:before="0" w:after="0"/>
              <w:rPr>
                <w:sz w:val="22"/>
                <w:szCs w:val="24"/>
              </w:rPr>
            </w:pPr>
            <w:r>
              <w:rPr>
                <w:sz w:val="24"/>
              </w:rPr>
              <w:t>СГЮА, 2016.</w:t>
            </w:r>
          </w:p>
        </w:tc>
      </w:tr>
    </w:tbl>
    <w:p>
      <w:pPr>
        <w:pStyle w:val="Normal"/>
        <w:tabs>
          <w:tab w:val="left" w:pos="4680" w:leader="none"/>
        </w:tabs>
        <w:spacing w:lineRule="auto" w:line="240" w:before="0" w:after="0"/>
        <w:rPr>
          <w:sz w:val="22"/>
          <w:szCs w:val="24"/>
        </w:rPr>
      </w:pPr>
      <w:r>
        <w:rPr>
          <w:sz w:val="22"/>
          <w:szCs w:val="24"/>
        </w:rPr>
      </w:r>
    </w:p>
    <w:p>
      <w:pPr>
        <w:pStyle w:val="Normal"/>
        <w:tabs>
          <w:tab w:val="left" w:pos="4680" w:leader="none"/>
        </w:tabs>
        <w:spacing w:lineRule="auto" w:line="240" w:before="0" w:after="0"/>
        <w:jc w:val="center"/>
        <w:rPr>
          <w:b/>
          <w:b/>
          <w:bCs/>
          <w:sz w:val="24"/>
        </w:rPr>
      </w:pPr>
      <w:r>
        <w:rPr>
          <w:b/>
          <w:bCs/>
          <w:sz w:val="24"/>
        </w:rPr>
        <w:t xml:space="preserve">Дополнительная </w:t>
      </w:r>
    </w:p>
    <w:p>
      <w:pPr>
        <w:pStyle w:val="Normal"/>
        <w:tabs>
          <w:tab w:val="left" w:pos="4680" w:leader="none"/>
        </w:tabs>
        <w:spacing w:lineRule="auto" w:line="240" w:before="0" w:after="0"/>
        <w:jc w:val="center"/>
        <w:rPr>
          <w:b/>
          <w:b/>
          <w:bCs/>
          <w:sz w:val="24"/>
        </w:rPr>
      </w:pPr>
      <w:r>
        <w:rPr>
          <w:b/>
          <w:bCs/>
          <w:sz w:val="24"/>
        </w:rPr>
      </w:r>
    </w:p>
    <w:tbl>
      <w:tblPr>
        <w:tblW w:w="9320" w:type="dxa"/>
        <w:jc w:val="left"/>
        <w:tblInd w:w="-72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2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671"/>
        <w:gridCol w:w="4112"/>
        <w:gridCol w:w="2269"/>
        <w:gridCol w:w="2267"/>
      </w:tblGrid>
      <w:tr>
        <w:trPr/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№ </w:t>
            </w:r>
            <w:r>
              <w:rPr>
                <w:sz w:val="22"/>
                <w:szCs w:val="24"/>
              </w:rPr>
              <w:t>п/п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tLeast" w:line="100" w:before="0" w:after="0"/>
              <w:jc w:val="center"/>
              <w:rPr>
                <w:color w:val="000000"/>
                <w:spacing w:val="6"/>
                <w:sz w:val="22"/>
                <w:szCs w:val="24"/>
              </w:rPr>
            </w:pPr>
            <w:r>
              <w:rPr>
                <w:color w:val="000000"/>
                <w:spacing w:val="6"/>
                <w:sz w:val="22"/>
                <w:szCs w:val="24"/>
              </w:rPr>
              <w:t>Наименование</w:t>
            </w:r>
          </w:p>
        </w:tc>
        <w:tc>
          <w:tcPr>
            <w:tcW w:w="2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tLeast" w:line="100" w:before="0" w:after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Автор</w:t>
            </w:r>
          </w:p>
        </w:tc>
        <w:tc>
          <w:tcPr>
            <w:tcW w:w="22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tLeast" w:line="100" w:before="0" w:after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Издательство и год издания</w:t>
            </w:r>
          </w:p>
        </w:tc>
      </w:tr>
      <w:tr>
        <w:trPr/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35" w:before="0" w:after="0"/>
              <w:rPr>
                <w:sz w:val="22"/>
                <w:szCs w:val="24"/>
              </w:rPr>
            </w:pPr>
            <w:r>
              <w:rPr>
                <w:sz w:val="24"/>
              </w:rPr>
              <w:t xml:space="preserve">Теория оперативно-розыскной деятельности </w:t>
            </w:r>
          </w:p>
        </w:tc>
        <w:tc>
          <w:tcPr>
            <w:tcW w:w="2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tLeast" w:line="100" w:before="0" w:after="0"/>
              <w:rPr>
                <w:sz w:val="22"/>
                <w:szCs w:val="24"/>
              </w:rPr>
            </w:pPr>
            <w:r>
              <w:rPr>
                <w:sz w:val="24"/>
              </w:rPr>
              <w:t>К.К. Горяинова, В.С. Овчинского, Г.К. Синилова.</w:t>
            </w:r>
          </w:p>
        </w:tc>
        <w:tc>
          <w:tcPr>
            <w:tcW w:w="22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tLeast" w:line="100" w:before="0" w:after="0"/>
              <w:rPr>
                <w:sz w:val="22"/>
                <w:szCs w:val="24"/>
              </w:rPr>
            </w:pPr>
            <w:r>
              <w:rPr>
                <w:sz w:val="24"/>
              </w:rPr>
              <w:t>М.: Норма, 2014</w:t>
            </w:r>
          </w:p>
        </w:tc>
      </w:tr>
    </w:tbl>
    <w:p>
      <w:pPr>
        <w:pStyle w:val="Normal"/>
        <w:tabs>
          <w:tab w:val="left" w:pos="4680" w:leader="none"/>
        </w:tabs>
        <w:spacing w:lineRule="auto" w:line="240" w:before="0" w:after="0"/>
        <w:jc w:val="center"/>
        <w:rPr>
          <w:b/>
          <w:b/>
          <w:szCs w:val="24"/>
        </w:rPr>
      </w:pPr>
      <w:r>
        <w:rPr>
          <w:b/>
          <w:szCs w:val="24"/>
        </w:rPr>
        <w:t xml:space="preserve">        </w:t>
      </w:r>
    </w:p>
    <w:p>
      <w:pPr>
        <w:pStyle w:val="Normal"/>
        <w:tabs>
          <w:tab w:val="left" w:pos="4680" w:leader="none"/>
        </w:tabs>
        <w:spacing w:lineRule="auto" w:line="240" w:before="0" w:after="0"/>
        <w:jc w:val="center"/>
        <w:rPr>
          <w:b/>
          <w:b/>
          <w:bCs/>
          <w:sz w:val="32"/>
        </w:rPr>
      </w:pPr>
      <w:r>
        <w:rPr>
          <w:b/>
          <w:szCs w:val="24"/>
        </w:rPr>
        <w:t xml:space="preserve"> </w:t>
      </w:r>
      <w:r>
        <w:rPr>
          <w:b/>
          <w:szCs w:val="24"/>
        </w:rPr>
        <w:t>Интернет-ресурсы</w:t>
      </w:r>
    </w:p>
    <w:p>
      <w:pPr>
        <w:pStyle w:val="Normal"/>
        <w:spacing w:lineRule="auto" w:line="240" w:before="0" w:after="0"/>
        <w:ind w:left="-709" w:hanging="0"/>
        <w:rPr>
          <w:b/>
          <w:b/>
          <w:szCs w:val="22"/>
        </w:rPr>
      </w:pPr>
      <w:r>
        <w:rPr>
          <w:b/>
          <w:szCs w:val="22"/>
        </w:rPr>
      </w:r>
    </w:p>
    <w:tbl>
      <w:tblPr>
        <w:tblStyle w:val="ae"/>
        <w:tblW w:w="9571" w:type="dxa"/>
        <w:jc w:val="left"/>
        <w:tblInd w:w="-75" w:type="dxa"/>
        <w:tblCellMar>
          <w:top w:w="0" w:type="dxa"/>
          <w:left w:w="33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817"/>
        <w:gridCol w:w="8753"/>
      </w:tblGrid>
      <w:tr>
        <w:trPr/>
        <w:tc>
          <w:tcPr>
            <w:tcW w:w="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7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bCs/>
                <w:sz w:val="24"/>
                <w:szCs w:val="24"/>
              </w:rPr>
              <w:t>Информационная справочно-правовая система</w:t>
            </w:r>
            <w:r>
              <w:rPr/>
              <w:t xml:space="preserve"> </w:t>
            </w:r>
            <w:r>
              <w:rPr>
                <w:sz w:val="24"/>
              </w:rPr>
              <w:t>«Консультант Плюс»</w:t>
            </w:r>
          </w:p>
        </w:tc>
      </w:tr>
      <w:tr>
        <w:trPr/>
        <w:tc>
          <w:tcPr>
            <w:tcW w:w="8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7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bCs/>
                <w:sz w:val="24"/>
                <w:szCs w:val="24"/>
              </w:rPr>
              <w:t>Информационная справочно-правовая система «Гарант»</w:t>
            </w:r>
          </w:p>
        </w:tc>
      </w:tr>
      <w:tr>
        <w:trPr/>
        <w:tc>
          <w:tcPr>
            <w:tcW w:w="817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753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true"/>
              <w:bidi w:val="0"/>
              <w:spacing w:lineRule="auto" w:line="360" w:before="0" w:after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  <w:lang w:eastAsia="zh-CN"/>
              </w:rPr>
              <w:t>Электронно-информационные ресурсы (ДОТ, ЭОР, ссылка):</w:t>
            </w:r>
          </w:p>
          <w:p>
            <w:pPr>
              <w:pStyle w:val="Normal"/>
              <w:widowControl/>
              <w:bidi w:val="0"/>
              <w:spacing w:lineRule="auto" w:line="240" w:before="0" w:after="0"/>
              <w:ind w:left="0" w:right="0" w:hanging="0"/>
              <w:jc w:val="both"/>
              <w:rPr/>
            </w:pPr>
            <w:hyperlink r:id="rId2">
              <w:r>
                <w:rPr>
                  <w:rStyle w:val="Style15"/>
                  <w:rFonts w:eastAsia="Times New Roman"/>
                  <w:color w:val="0000FF"/>
                  <w:sz w:val="24"/>
                  <w:szCs w:val="24"/>
                  <w:u w:val="single"/>
                  <w:lang w:eastAsia="zh-CN"/>
                </w:rPr>
                <w:t>https://e-learning.tspk-mo.ru/mck/</w:t>
              </w:r>
            </w:hyperlink>
            <w:r>
              <w:rPr>
                <w:rFonts w:eastAsia="Times New Roman"/>
                <w:sz w:val="24"/>
                <w:szCs w:val="24"/>
                <w:lang w:eastAsia="zh-CN"/>
              </w:rPr>
              <w:t xml:space="preserve"> - Цифровой колледж Подмосковья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ind w:right="701" w:hanging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ind w:right="701" w:hanging="0"/>
        <w:jc w:val="center"/>
        <w:rPr/>
      </w:pPr>
      <w:r>
        <w:rPr>
          <w:b/>
          <w:bCs/>
        </w:rPr>
        <w:t>СПЕЦТЕХНИКА 3 курс</w:t>
      </w:r>
    </w:p>
    <w:tbl>
      <w:tblPr>
        <w:tblW w:w="10605" w:type="dxa"/>
        <w:jc w:val="left"/>
        <w:tblInd w:w="-601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28" w:type="dxa"/>
          <w:bottom w:w="0" w:type="dxa"/>
          <w:right w:w="108" w:type="dxa"/>
        </w:tblCellMar>
        <w:tblLook w:noVBand="0" w:val="00a0" w:noHBand="0" w:lastColumn="0" w:firstColumn="1" w:lastRow="0" w:firstRow="1"/>
      </w:tblPr>
      <w:tblGrid>
        <w:gridCol w:w="675"/>
        <w:gridCol w:w="7424"/>
        <w:gridCol w:w="2506"/>
      </w:tblGrid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Законодательство о применении специальных техсредств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21-34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Ведомственные нормативные акты, регулирующие применение специальных техсредств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35-40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ListParagraph"/>
              <w:tabs>
                <w:tab w:val="left" w:pos="6585" w:leader="none"/>
              </w:tabs>
              <w:spacing w:lineRule="auto" w:line="240" w:before="0" w:after="0"/>
              <w:ind w:left="0" w:hanging="51"/>
              <w:contextualSpacing/>
              <w:rPr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ПР1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Правовая основа применения специальной техники в деятельности ОВД.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21-40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Положения применения спецсредств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43-45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Применение спецсредств сотрудниками МВД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45-52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b/>
                <w:bCs/>
                <w:sz w:val="20"/>
                <w:szCs w:val="20"/>
                <w:lang w:eastAsia="ru-RU"/>
              </w:rPr>
              <w:t>ПР2</w:t>
            </w:r>
            <w:r>
              <w:rPr>
                <w:sz w:val="20"/>
                <w:szCs w:val="20"/>
                <w:lang w:eastAsia="ru-RU"/>
              </w:rPr>
              <w:t xml:space="preserve"> Применение спецсредств сотрудниками МВД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45-52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Применение спецсредств сотрудниками УИС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52-60</w:t>
            </w:r>
          </w:p>
        </w:tc>
      </w:tr>
      <w:tr>
        <w:trPr>
          <w:trHeight w:val="273" w:hRule="atLeast"/>
        </w:trPr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b/>
                <w:bCs/>
                <w:sz w:val="20"/>
                <w:szCs w:val="20"/>
                <w:lang w:eastAsia="ru-RU"/>
              </w:rPr>
              <w:t>ПР 3</w:t>
            </w:r>
            <w:r>
              <w:rPr>
                <w:sz w:val="20"/>
                <w:szCs w:val="20"/>
                <w:lang w:eastAsia="ru-RU"/>
              </w:rPr>
              <w:t xml:space="preserve"> Применение спецсредств сотрудниками УИС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52-60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b/>
                <w:bCs/>
                <w:sz w:val="20"/>
                <w:szCs w:val="20"/>
                <w:lang w:eastAsia="ru-RU"/>
              </w:rPr>
              <w:t>ПР4</w:t>
            </w:r>
            <w:r>
              <w:rPr>
                <w:sz w:val="20"/>
                <w:szCs w:val="20"/>
                <w:lang w:eastAsia="ru-RU"/>
              </w:rPr>
              <w:t xml:space="preserve"> Законодательные ограничения в отношении применения специальных средств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57-59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Средства индивидуальной бронезащиты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60-66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Современные защитные жилеты и куртки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66-70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Современные бронешлемы и щиты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70-75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b/>
                <w:bCs/>
                <w:sz w:val="20"/>
                <w:szCs w:val="20"/>
                <w:lang w:eastAsia="ru-RU"/>
              </w:rPr>
              <w:t>ПР5</w:t>
            </w:r>
            <w:r>
              <w:rPr>
                <w:sz w:val="20"/>
                <w:szCs w:val="20"/>
                <w:lang w:eastAsia="ru-RU"/>
              </w:rPr>
              <w:t xml:space="preserve"> Характеристики средств бронезащиты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60-66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b/>
                <w:bCs/>
                <w:sz w:val="20"/>
                <w:szCs w:val="20"/>
                <w:lang w:eastAsia="ru-RU"/>
              </w:rPr>
              <w:t>ПР6</w:t>
            </w:r>
            <w:r>
              <w:rPr>
                <w:sz w:val="20"/>
                <w:szCs w:val="20"/>
                <w:lang w:eastAsia="ru-RU"/>
              </w:rPr>
              <w:t xml:space="preserve"> Противопульные штурмовые щиты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70-75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15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b/>
                <w:bCs/>
                <w:sz w:val="20"/>
                <w:szCs w:val="20"/>
                <w:lang w:eastAsia="ru-RU"/>
              </w:rPr>
              <w:t>ПР7</w:t>
            </w:r>
            <w:r>
              <w:rPr>
                <w:sz w:val="20"/>
                <w:szCs w:val="20"/>
                <w:lang w:eastAsia="ru-RU"/>
              </w:rPr>
              <w:t xml:space="preserve"> Комплекты средств индивидуальной бронезащиты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75-79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16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Спецсредства активной обороны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79-83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ПР8 </w:t>
            </w:r>
            <w:r>
              <w:rPr>
                <w:sz w:val="20"/>
                <w:szCs w:val="20"/>
                <w:lang w:eastAsia="ru-RU"/>
              </w:rPr>
              <w:t>Спецсредства активной обороны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79-83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18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Средства обеспечения спецопераций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83-89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19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  <w:bCs/>
                <w:sz w:val="20"/>
                <w:szCs w:val="20"/>
              </w:rPr>
              <w:t>ПР9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eastAsia="ru-RU"/>
              </w:rPr>
              <w:t>Средства обеспечения спецопераций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83-89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20"/>
                <w:szCs w:val="20"/>
                <w:lang w:eastAsia="ru-RU"/>
              </w:rPr>
              <w:t>Виды средств нелетального действия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89-97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Системы охранно-пожарной сигнализации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98-105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22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Системы защиты внешнего периметра объекта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105-114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23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  <w:bCs/>
                <w:sz w:val="20"/>
                <w:szCs w:val="20"/>
              </w:rPr>
              <w:t xml:space="preserve">ПР10 </w:t>
            </w:r>
            <w:r>
              <w:rPr>
                <w:sz w:val="20"/>
                <w:szCs w:val="20"/>
                <w:lang w:eastAsia="ru-RU"/>
              </w:rPr>
              <w:t>Технические средства защиты внешнего периметра объекта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105-114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24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Понятие защиты информации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120-125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25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b/>
                <w:bCs/>
                <w:sz w:val="20"/>
                <w:szCs w:val="20"/>
              </w:rPr>
              <w:t>Зачет 5 семестр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26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Несанкционированный доступ к информационным ресурсам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125-131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27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eastAsia="Times New Roman"/>
                <w:b/>
                <w:bCs/>
                <w:color w:val="000000"/>
                <w:spacing w:val="-1"/>
                <w:sz w:val="20"/>
                <w:szCs w:val="24"/>
              </w:rPr>
              <w:t>ПР11</w:t>
            </w:r>
            <w:r>
              <w:rPr>
                <w:rFonts w:eastAsia="Times New Roman"/>
                <w:color w:val="000000"/>
                <w:spacing w:val="-1"/>
                <w:sz w:val="20"/>
                <w:szCs w:val="24"/>
              </w:rPr>
              <w:t xml:space="preserve"> Факторы, влияющие на утечку информации.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120-125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28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eastAsia="Times New Roman"/>
                <w:b/>
                <w:bCs/>
                <w:color w:val="000000"/>
                <w:spacing w:val="-1"/>
                <w:sz w:val="20"/>
                <w:szCs w:val="24"/>
              </w:rPr>
              <w:t xml:space="preserve">ПР12 </w:t>
            </w:r>
            <w:r>
              <w:rPr>
                <w:rFonts w:eastAsia="Times New Roman"/>
                <w:color w:val="000000"/>
                <w:spacing w:val="-1"/>
                <w:sz w:val="20"/>
                <w:szCs w:val="24"/>
              </w:rPr>
              <w:t>Методы и технические средства обеспечения безопасности информации.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125-131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29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Поисковые средства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141-144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30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b/>
                <w:bCs/>
                <w:sz w:val="20"/>
                <w:szCs w:val="20"/>
                <w:lang w:eastAsia="ru-RU"/>
              </w:rPr>
              <w:t>ПР13</w:t>
            </w:r>
            <w:r>
              <w:rPr>
                <w:sz w:val="20"/>
                <w:szCs w:val="20"/>
                <w:lang w:eastAsia="ru-RU"/>
              </w:rPr>
              <w:t xml:space="preserve"> Поисковая техника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144-148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31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Приборы для поиска и идентификации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153-160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32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20"/>
                <w:szCs w:val="20"/>
                <w:lang w:eastAsia="ru-RU"/>
              </w:rPr>
              <w:t>Средства контроля и досмотра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160-166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33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ПР14 </w:t>
            </w:r>
            <w:r>
              <w:rPr>
                <w:sz w:val="20"/>
                <w:szCs w:val="20"/>
                <w:lang w:eastAsia="ru-RU"/>
              </w:rPr>
              <w:t>Средства контроля и досмотра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160-166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34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Системы контроля и управления доступом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166-169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35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Элементы систем контроля и управления доступом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169-178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b/>
                <w:bCs/>
                <w:sz w:val="20"/>
                <w:szCs w:val="20"/>
                <w:lang w:eastAsia="ru-RU"/>
              </w:rPr>
              <w:t>ПР15</w:t>
            </w:r>
            <w:r>
              <w:rPr>
                <w:sz w:val="20"/>
                <w:szCs w:val="20"/>
                <w:lang w:eastAsia="ru-RU"/>
              </w:rPr>
              <w:t xml:space="preserve"> Технология применения систем контроля и управления доступом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178-185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37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Системы видеонаблюдения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185-191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38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ПР16 </w:t>
            </w:r>
            <w:r>
              <w:rPr>
                <w:sz w:val="20"/>
                <w:szCs w:val="20"/>
                <w:lang w:eastAsia="ru-RU"/>
              </w:rPr>
              <w:t>Системы видеонаблюдения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185-191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39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Телевизионное наблюдение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191-195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40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b/>
                <w:bCs/>
                <w:sz w:val="20"/>
                <w:szCs w:val="20"/>
                <w:lang w:eastAsia="ru-RU"/>
              </w:rPr>
              <w:t>ПР17</w:t>
            </w:r>
            <w:r>
              <w:rPr>
                <w:sz w:val="20"/>
                <w:szCs w:val="20"/>
                <w:lang w:eastAsia="ru-RU"/>
              </w:rPr>
              <w:t xml:space="preserve"> Телевизионное наблюдение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191-195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41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Непосредственное наблюдение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195-198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42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b/>
                <w:bCs/>
                <w:sz w:val="20"/>
                <w:szCs w:val="20"/>
                <w:lang w:eastAsia="ru-RU"/>
              </w:rPr>
              <w:t>ПР18</w:t>
            </w:r>
            <w:r>
              <w:rPr>
                <w:sz w:val="20"/>
                <w:szCs w:val="20"/>
                <w:lang w:eastAsia="ru-RU"/>
              </w:rPr>
              <w:t xml:space="preserve"> Непосредственное наблюдение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195-198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43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Специальные химические вещества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198-200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44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Классификация спецхимвеществ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200-205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45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Маркировка объектов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211-213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46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b/>
                <w:bCs/>
                <w:sz w:val="20"/>
                <w:szCs w:val="20"/>
                <w:lang w:eastAsia="ru-RU"/>
              </w:rPr>
              <w:t>ПР19</w:t>
            </w:r>
            <w:r>
              <w:rPr>
                <w:sz w:val="20"/>
                <w:szCs w:val="20"/>
                <w:lang w:eastAsia="ru-RU"/>
              </w:rPr>
              <w:t xml:space="preserve"> Химические ловушки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205-211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47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ПР20 </w:t>
            </w:r>
            <w:r>
              <w:rPr>
                <w:sz w:val="20"/>
                <w:szCs w:val="20"/>
                <w:lang w:eastAsia="ru-RU"/>
              </w:rPr>
              <w:t>Средства маркировки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211-213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48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b/>
                <w:bCs/>
                <w:sz w:val="20"/>
                <w:szCs w:val="20"/>
                <w:lang w:eastAsia="ru-RU"/>
              </w:rPr>
              <w:t>ПР21</w:t>
            </w:r>
            <w:r>
              <w:rPr>
                <w:sz w:val="20"/>
                <w:szCs w:val="20"/>
                <w:lang w:eastAsia="ru-RU"/>
              </w:rPr>
              <w:t xml:space="preserve"> Документальное оформление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213-217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49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Оперативно-розыскное производство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218-220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Технические средства обеспечения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220-224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51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b/>
                <w:bCs/>
                <w:sz w:val="20"/>
                <w:szCs w:val="20"/>
                <w:lang w:eastAsia="ru-RU"/>
              </w:rPr>
              <w:t>ПР22</w:t>
            </w:r>
            <w:r>
              <w:rPr>
                <w:sz w:val="20"/>
                <w:szCs w:val="20"/>
                <w:lang w:eastAsia="ru-RU"/>
              </w:rPr>
              <w:t xml:space="preserve"> Технические средства обеспечения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220-224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52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b/>
                <w:bCs/>
                <w:sz w:val="20"/>
                <w:szCs w:val="20"/>
                <w:lang w:eastAsia="ru-RU"/>
              </w:rPr>
              <w:t>ПР23</w:t>
            </w:r>
            <w:r>
              <w:rPr>
                <w:sz w:val="20"/>
                <w:szCs w:val="20"/>
                <w:lang w:eastAsia="ru-RU"/>
              </w:rPr>
              <w:t xml:space="preserve"> Полиграф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224-228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53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Противодействие техническим средствам разведки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228-233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54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b/>
                <w:bCs/>
                <w:sz w:val="20"/>
                <w:szCs w:val="20"/>
                <w:lang w:eastAsia="ru-RU"/>
              </w:rPr>
              <w:t>ПР24</w:t>
            </w:r>
            <w:r>
              <w:rPr>
                <w:sz w:val="20"/>
                <w:szCs w:val="20"/>
                <w:lang w:eastAsia="ru-RU"/>
              </w:rPr>
              <w:t xml:space="preserve"> Противодействие техническим средствам разведки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228-233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55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Совершенствование спецтехники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234-235</w:t>
            </w:r>
          </w:p>
        </w:tc>
      </w:tr>
      <w:tr>
        <w:trPr>
          <w:trHeight w:val="357" w:hRule="atLeast"/>
        </w:trPr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56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sz w:val="20"/>
                <w:szCs w:val="20"/>
                <w:lang w:eastAsia="ru-RU"/>
              </w:rPr>
              <w:t>Перспективные направления техсредств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234-235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57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b/>
                <w:bCs/>
                <w:sz w:val="20"/>
                <w:szCs w:val="20"/>
                <w:lang w:eastAsia="ru-RU"/>
              </w:rPr>
              <w:t>ПР25</w:t>
            </w:r>
            <w:r>
              <w:rPr>
                <w:sz w:val="20"/>
                <w:szCs w:val="20"/>
                <w:lang w:eastAsia="ru-RU"/>
              </w:rPr>
              <w:t xml:space="preserve"> Перспективные направления техсредств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bCs/>
                <w:sz w:val="20"/>
                <w:szCs w:val="20"/>
              </w:rPr>
              <w:t>Учебник №1,Стр. 234-235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7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b/>
                <w:sz w:val="20"/>
                <w:szCs w:val="20"/>
                <w:lang w:eastAsia="ru-RU"/>
              </w:rPr>
              <w:t>Зачет 6семестр</w:t>
            </w:r>
          </w:p>
        </w:tc>
        <w:tc>
          <w:tcPr>
            <w:tcW w:w="25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</w:r>
          </w:p>
        </w:tc>
      </w:tr>
    </w:tbl>
    <w:p>
      <w:pPr>
        <w:pStyle w:val="Normal"/>
        <w:spacing w:before="0" w:after="200"/>
        <w:ind w:right="701" w:hanging="0"/>
        <w:jc w:val="right"/>
        <w:rPr/>
      </w:pPr>
      <w:r>
        <w:rPr/>
      </w:r>
    </w:p>
    <w:sectPr>
      <w:type w:val="nextPage"/>
      <w:pgSz w:w="11906" w:h="16838"/>
      <w:pgMar w:left="1701" w:right="850" w:header="0" w:top="540" w:footer="0" w:bottom="36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73ea4"/>
    <w:pPr>
      <w:widowControl/>
      <w:bidi w:val="0"/>
      <w:spacing w:lineRule="auto" w:line="276" w:before="0" w:after="200"/>
      <w:jc w:val="left"/>
    </w:pPr>
    <w:rPr>
      <w:rFonts w:ascii="Times New Roman" w:hAnsi="Times New Roman" w:eastAsia="Calibri" w:cs="Times New Roman" w:eastAsiaTheme="minorHAnsi"/>
      <w:color w:val="00000A"/>
      <w:kern w:val="0"/>
      <w:sz w:val="28"/>
      <w:szCs w:val="28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бычный (веб) Знак"/>
    <w:uiPriority w:val="99"/>
    <w:qFormat/>
    <w:locked/>
    <w:rsid w:val="00973ea4"/>
    <w:rPr>
      <w:rFonts w:ascii="Times New Roman" w:hAnsi="Times New Roman" w:eastAsia="Calibri" w:cs="Times New Roman"/>
      <w:sz w:val="24"/>
      <w:szCs w:val="24"/>
    </w:rPr>
  </w:style>
  <w:style w:type="character" w:styleId="C0" w:customStyle="1">
    <w:name w:val="c0"/>
    <w:basedOn w:val="DefaultParagraphFont"/>
    <w:qFormat/>
    <w:rsid w:val="00440f80"/>
    <w:rPr/>
  </w:style>
  <w:style w:type="character" w:styleId="Appleconvertedspace" w:customStyle="1">
    <w:name w:val="apple-converted-space"/>
    <w:basedOn w:val="DefaultParagraphFont"/>
    <w:qFormat/>
    <w:rsid w:val="00bb170c"/>
    <w:rPr/>
  </w:style>
  <w:style w:type="character" w:styleId="Style15" w:customStyle="1">
    <w:name w:val="Интернет-ссылка"/>
    <w:basedOn w:val="DefaultParagraphFont"/>
    <w:unhideWhenUsed/>
    <w:rsid w:val="00bb170c"/>
    <w:rPr>
      <w:color w:val="0000FF"/>
      <w:u w:val="single"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281013"/>
    <w:rPr>
      <w:rFonts w:ascii="Segoe UI" w:hAnsi="Segoe UI" w:eastAsia="Calibri" w:cs="Segoe UI"/>
      <w:sz w:val="18"/>
      <w:szCs w:val="18"/>
    </w:rPr>
  </w:style>
  <w:style w:type="character" w:styleId="ListLabel1" w:customStyle="1">
    <w:name w:val="ListLabel 1"/>
    <w:qFormat/>
    <w:rsid w:val="005e47a6"/>
    <w:rPr>
      <w:rFonts w:cs="Times New Roman"/>
    </w:rPr>
  </w:style>
  <w:style w:type="character" w:styleId="ListLabel2" w:customStyle="1">
    <w:name w:val="ListLabel 2"/>
    <w:qFormat/>
    <w:rsid w:val="005e47a6"/>
    <w:rPr>
      <w:b w:val="false"/>
    </w:rPr>
  </w:style>
  <w:style w:type="character" w:styleId="ListLabel3">
    <w:name w:val="ListLabel 3"/>
    <w:qFormat/>
    <w:rPr>
      <w:rFonts w:eastAsia="Times New Roman"/>
      <w:color w:val="0000FF"/>
      <w:sz w:val="24"/>
      <w:szCs w:val="24"/>
      <w:u w:val="single"/>
      <w:lang w:eastAsia="zh-CN"/>
    </w:rPr>
  </w:style>
  <w:style w:type="paragraph" w:styleId="Style17" w:customStyle="1">
    <w:name w:val="Заголовок"/>
    <w:basedOn w:val="Normal"/>
    <w:next w:val="Style18"/>
    <w:qFormat/>
    <w:rsid w:val="005e47a6"/>
    <w:pPr>
      <w:keepNext w:val="true"/>
      <w:spacing w:before="240" w:after="120"/>
    </w:pPr>
    <w:rPr>
      <w:rFonts w:ascii="Liberation Sans" w:hAnsi="Liberation Sans" w:eastAsia="Noto Sans CJK SC Regular" w:cs="FreeSans"/>
    </w:rPr>
  </w:style>
  <w:style w:type="paragraph" w:styleId="Style18">
    <w:name w:val="Body Text"/>
    <w:basedOn w:val="Normal"/>
    <w:rsid w:val="005e47a6"/>
    <w:pPr>
      <w:spacing w:lineRule="auto" w:line="288" w:before="0" w:after="140"/>
    </w:pPr>
    <w:rPr/>
  </w:style>
  <w:style w:type="paragraph" w:styleId="Style19">
    <w:name w:val="List"/>
    <w:basedOn w:val="Style18"/>
    <w:rsid w:val="005e47a6"/>
    <w:pPr/>
    <w:rPr>
      <w:rFonts w:cs="Free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FreeSans"/>
    </w:rPr>
  </w:style>
  <w:style w:type="paragraph" w:styleId="1" w:customStyle="1">
    <w:name w:val="Название объекта1"/>
    <w:basedOn w:val="Normal"/>
    <w:qFormat/>
    <w:rsid w:val="005e47a6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heading">
    <w:name w:val="index heading"/>
    <w:basedOn w:val="Normal"/>
    <w:qFormat/>
    <w:rsid w:val="005e47a6"/>
    <w:pPr>
      <w:suppressLineNumbers/>
    </w:pPr>
    <w:rPr>
      <w:rFonts w:cs="FreeSans"/>
    </w:rPr>
  </w:style>
  <w:style w:type="paragraph" w:styleId="NormalWeb">
    <w:name w:val="Normal (Web)"/>
    <w:basedOn w:val="Normal"/>
    <w:uiPriority w:val="99"/>
    <w:qFormat/>
    <w:rsid w:val="00973ea4"/>
    <w:pPr>
      <w:spacing w:lineRule="auto" w:line="240" w:beforeAutospacing="1" w:afterAutospacing="1"/>
      <w:jc w:val="both"/>
    </w:pPr>
    <w:rPr>
      <w:sz w:val="24"/>
      <w:szCs w:val="24"/>
    </w:rPr>
  </w:style>
  <w:style w:type="paragraph" w:styleId="C4" w:customStyle="1">
    <w:name w:val="c4"/>
    <w:basedOn w:val="Normal"/>
    <w:qFormat/>
    <w:rsid w:val="00440f80"/>
    <w:pPr>
      <w:spacing w:lineRule="auto" w:line="240" w:beforeAutospacing="1" w:afterAutospacing="1"/>
    </w:pPr>
    <w:rPr>
      <w:rFonts w:eastAsia="Times New Roman"/>
      <w:sz w:val="24"/>
      <w:szCs w:val="24"/>
      <w:lang w:eastAsia="ru-RU"/>
    </w:rPr>
  </w:style>
  <w:style w:type="paragraph" w:styleId="C2" w:customStyle="1">
    <w:name w:val="c2"/>
    <w:basedOn w:val="Normal"/>
    <w:qFormat/>
    <w:rsid w:val="00bb170c"/>
    <w:pPr>
      <w:spacing w:lineRule="auto" w:line="240" w:beforeAutospacing="1" w:afterAutospacing="1"/>
    </w:pPr>
    <w:rPr>
      <w:rFonts w:eastAsia="Times New Roman"/>
      <w:sz w:val="24"/>
      <w:szCs w:val="24"/>
      <w:lang w:eastAsia="ru-RU"/>
    </w:rPr>
  </w:style>
  <w:style w:type="paragraph" w:styleId="ListParagraph">
    <w:name w:val="List Paragraph"/>
    <w:basedOn w:val="Normal"/>
    <w:qFormat/>
    <w:rsid w:val="00531b11"/>
    <w:pPr>
      <w:spacing w:before="0" w:after="200"/>
      <w:ind w:left="720" w:hanging="0"/>
      <w:contextualSpacing/>
    </w:pPr>
    <w:rPr>
      <w:rFonts w:ascii="Calibri" w:hAnsi="Calibri"/>
      <w:sz w:val="22"/>
      <w:szCs w:val="22"/>
    </w:rPr>
  </w:style>
  <w:style w:type="paragraph" w:styleId="BalloonText">
    <w:name w:val="Balloon Text"/>
    <w:basedOn w:val="Normal"/>
    <w:uiPriority w:val="99"/>
    <w:semiHidden/>
    <w:unhideWhenUsed/>
    <w:qFormat/>
    <w:rsid w:val="0028101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22" w:customStyle="1">
    <w:name w:val="Содержимое таблицы"/>
    <w:basedOn w:val="Normal"/>
    <w:qFormat/>
    <w:rsid w:val="005e47a6"/>
    <w:pPr/>
    <w:rPr/>
  </w:style>
  <w:style w:type="paragraph" w:styleId="Style23" w:customStyle="1">
    <w:name w:val="Заголовок таблицы"/>
    <w:basedOn w:val="Style22"/>
    <w:qFormat/>
    <w:rsid w:val="005e47a6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ee7113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-learning.tspk-mo.ru/mck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4D3F4-5BB0-4397-BBA7-173F88ED8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Application>LibreOffice/6.0.7.3$Linux_X86_64 LibreOffice_project/00m0$Build-3</Application>
  <Pages>14</Pages>
  <Words>643</Words>
  <Characters>4577</Characters>
  <CharactersWithSpaces>5000</CharactersWithSpaces>
  <Paragraphs>261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2016-07-10T13:57:00Z</dcterms:created>
  <dc:creator>Ольга</dc:creator>
  <dc:description/>
  <dc:language>ru-RU</dc:language>
  <cp:lastModifiedBy/>
  <cp:lastPrinted>2019-10-23T13:46:48Z</cp:lastPrinted>
  <dcterms:modified xsi:type="dcterms:W3CDTF">2019-10-23T13:47:58Z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